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t>(Số: string/HĐKT)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t>Hôm nay, ngày string tháng string năm string,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t>Ông/bà: Trinh Tran Manh Dung        Sinh năm: string</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t>CCCD/Hộ chiếu số: string</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t>Hộ khẩu thường trú tại: string.</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t>Nhãn hiệu: string       Biển số:  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t>Loại xe: string               Màu Sơn: 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t>Số chỗ ngồi: string      Đăng ký xe có giá trị đến ngày: 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t>- Bên B cam đoan: Bên B được cấp giấy phép lái xe hạng string số string có giá trị đến ngày string.</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t>Thời hạn thuê là string (string)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t>1. Giá thuê tài sản nêu trên là: string VNĐ (Bằng chữ: string đồng).</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t>2. Phương thức thanh toán: Thanh toán bằng string và Bên B phải thanh toán cho Bên A số tiền thuê xe ô tô nêu trên vào ngày string.</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