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039753BA" w14:textId="7C90D721" w:rsidR="00C74DE5" w:rsidRDefault="00C74DE5" w:rsidP="00514961">
      <w:pPr>
        <w:ind w:firstLine="0"/>
        <w:rPr>
          <w:sz w:val="24"/>
          <w:shd w:val="clear" w:color="auto" w:fill="auto"/>
        </w:rPr>
      </w:pPr>
      <w:r>
        <w:rPr>
          <w:lang w:val="vi-VN"/>
        </w:rPr>
        <w:object w:dxaOrig="7512" w:dyaOrig="3036" w14:anchorId="6D0E89B8">
          <v:shape id="_x0000_i1038" type="#_x0000_t75" style="width:375.6pt;height:152.4pt" o:ole="">
            <v:imagedata r:id="rId8" o:title=""/>
          </v:shape>
          <o:OLEObject Type="Link" ProgID="Excel.Sheet.12" ShapeID="_x0000_i1038"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w:instrText>
      </w:r>
      <w:r>
        <w:rPr>
          <w:lang w:val="vi-VN"/>
        </w:rPr>
        <w:instrText xml:space="preserve">Excel.Sheet.12 "C:\\Users\\pc\\Desktop\\khoi nghiep\\du tinh.xlsx" "đầu tư ban đầu!R1C1:R7C2" </w:instrText>
      </w:r>
      <w:r w:rsidR="00126914">
        <w:rPr>
          <w:lang w:val="vi-VN"/>
        </w:rPr>
        <w:instrText xml:space="preserve">\a \f 5 \h  \* MERGEFORMAT </w:instrText>
      </w:r>
      <w:r>
        <w:rPr>
          <w:lang w:val="vi-VN"/>
        </w:rPr>
        <w:fldChar w:fldCharType="separate"/>
      </w:r>
    </w:p>
    <w:p w14:paraId="755775F5" w14:textId="7C6DC638" w:rsidR="00126914" w:rsidRPr="009F4D1F" w:rsidRDefault="00126914" w:rsidP="00514961">
      <w:pPr>
        <w:ind w:firstLine="0"/>
        <w:rPr>
          <w:sz w:val="2"/>
          <w:szCs w:val="2"/>
          <w:shd w:val="clear" w:color="auto" w:fill="auto"/>
        </w:rPr>
      </w:pPr>
      <w:r>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6FE358A2" w:rsidR="00126914" w:rsidRPr="00126914" w:rsidRDefault="00C74DE5" w:rsidP="00514961">
      <w:pPr>
        <w:ind w:firstLine="0"/>
        <w:rPr>
          <w:lang w:val="vi-VN"/>
        </w:rPr>
      </w:pPr>
      <w:r>
        <w:rPr>
          <w:lang w:val="vi-VN"/>
        </w:rPr>
        <w:object w:dxaOrig="7056" w:dyaOrig="2604" w14:anchorId="4159001E">
          <v:shape id="_x0000_i1041" type="#_x0000_t75" style="width:352.2pt;height:130.2pt" o:ole="">
            <v:imagedata r:id="rId10" o:title=""/>
          </v:shape>
          <o:OLEObject Type="Link" ProgID="Excel.Sheet.12" ShapeID="_x0000_i1041"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35C6E17E" w:rsidR="00D61ECE" w:rsidRPr="00D61ECE" w:rsidRDefault="00C74DE5" w:rsidP="00D61ECE">
      <w:pPr>
        <w:ind w:firstLine="0"/>
        <w:rPr>
          <w:lang w:val="vi-VN"/>
        </w:rPr>
      </w:pPr>
      <w:r>
        <w:rPr>
          <w:lang w:val="vi-VN"/>
        </w:rPr>
        <w:object w:dxaOrig="10608" w:dyaOrig="3300" w14:anchorId="29947E5A">
          <v:shape id="_x0000_i1043" type="#_x0000_t75" style="width:530.4pt;height:165pt" o:ole="">
            <v:imagedata r:id="rId12" o:title=""/>
          </v:shape>
          <o:OLEObject Type="Link" ProgID="Excel.Sheet.12" ShapeID="_x0000_i1043" DrawAspect="Content" r:id="rId13" UpdateMode="Always">
            <o:LinkType>EnhancedMetaFile</o:LinkType>
            <o:LockedField>false</o:LockedField>
          </o:OLEObject>
        </w:object>
      </w: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74CBBB62" w:rsidR="00D61ECE" w:rsidRPr="00D61ECE" w:rsidRDefault="00C74DE5" w:rsidP="00294991">
      <w:pPr>
        <w:ind w:firstLine="0"/>
        <w:rPr>
          <w:lang w:val="vi-VN"/>
        </w:rPr>
      </w:pPr>
      <w:r>
        <w:rPr>
          <w:lang w:val="vi-VN"/>
        </w:rPr>
        <w:object w:dxaOrig="10560" w:dyaOrig="3036" w14:anchorId="7B29965F">
          <v:shape id="_x0000_i1045" type="#_x0000_t75" style="width:528pt;height:152.4pt" o:ole="">
            <v:imagedata r:id="rId14" o:title=""/>
          </v:shape>
          <o:OLEObject Type="Link" ProgID="Excel.Sheet.12" ShapeID="_x0000_i1045"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3860AC18" w:rsidR="007F62DF" w:rsidRDefault="007F62DF" w:rsidP="007F62DF">
      <w:pPr>
        <w:pStyle w:val="Heading3"/>
        <w:rPr>
          <w:lang w:val="vi-VN"/>
        </w:rPr>
      </w:pPr>
      <w:r w:rsidRPr="007F62DF">
        <w:rPr>
          <w:lang w:val="vi-VN"/>
        </w:rPr>
        <w:t>a.5 Chi phí hoạt động</w:t>
      </w:r>
    </w:p>
    <w:p w14:paraId="6FB6D993" w14:textId="147A668F" w:rsidR="009F4D1F" w:rsidRPr="009F4D1F" w:rsidRDefault="00C74DE5" w:rsidP="009F4D1F">
      <w:pPr>
        <w:ind w:firstLine="0"/>
        <w:rPr>
          <w:lang w:val="vi-VN"/>
        </w:rPr>
      </w:pPr>
      <w:r>
        <w:rPr>
          <w:lang w:val="vi-VN"/>
        </w:rPr>
        <w:object w:dxaOrig="10680" w:dyaOrig="7116" w14:anchorId="2678D720">
          <v:shape id="_x0000_i1047" type="#_x0000_t75" style="width:534pt;height:355.2pt" o:ole="">
            <v:imagedata r:id="rId16" o:title=""/>
          </v:shape>
          <o:OLEObject Type="Link" ProgID="Excel.Sheet.12" ShapeID="_x0000_i1047"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211513FE" w:rsidR="00294991" w:rsidRPr="00294991" w:rsidRDefault="00C74DE5" w:rsidP="00514961">
      <w:pPr>
        <w:ind w:firstLine="0"/>
        <w:rPr>
          <w:lang w:val="vi-VN"/>
        </w:rPr>
      </w:pPr>
      <w:r>
        <w:rPr>
          <w:lang w:val="vi-VN"/>
        </w:rPr>
        <w:object w:dxaOrig="6264" w:dyaOrig="1740" w14:anchorId="3149F4BA">
          <v:shape id="_x0000_i1049" type="#_x0000_t75" style="width:313.8pt;height:87pt" o:ole="">
            <v:imagedata r:id="rId18" o:title=""/>
          </v:shape>
          <o:OLEObject Type="Link" ProgID="Excel.Sheet.12" ShapeID="_x0000_i1049"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42B5303F" w:rsidR="007A4E6D" w:rsidRPr="00420A13" w:rsidRDefault="00C74DE5" w:rsidP="00420A13">
      <w:pPr>
        <w:ind w:firstLine="0"/>
      </w:pPr>
      <w:r>
        <w:object w:dxaOrig="10632" w:dyaOrig="4764" w14:anchorId="1C75EB5A">
          <v:shape id="_x0000_i1051" type="#_x0000_t75" style="width:531.6pt;height:238.2pt" o:ole="">
            <v:imagedata r:id="rId20" o:title=""/>
          </v:shape>
          <o:OLEObject Type="Link" ProgID="Excel.Sheet.12" ShapeID="_x0000_i1051"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49738F2B" w:rsidR="00420A13" w:rsidRPr="00420A13" w:rsidRDefault="00C74DE5" w:rsidP="00420A13">
      <w:pPr>
        <w:ind w:firstLine="0"/>
        <w:rPr>
          <w:lang w:val="vi-VN"/>
        </w:rPr>
      </w:pPr>
      <w:r>
        <w:rPr>
          <w:lang w:val="vi-VN"/>
        </w:rPr>
        <w:object w:dxaOrig="10704" w:dyaOrig="7272" w14:anchorId="412A5D61">
          <v:shape id="_x0000_i1053" type="#_x0000_t75" style="width:535.8pt;height:363.6pt" o:ole="">
            <v:imagedata r:id="rId22" o:title=""/>
          </v:shape>
          <o:OLEObject Type="Link" ProgID="Excel.Sheet.12" ShapeID="_x0000_i1053"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headerReference w:type="even" r:id="rId24"/>
          <w:headerReference w:type="default" r:id="rId25"/>
          <w:footerReference w:type="even" r:id="rId26"/>
          <w:footerReference w:type="default" r:id="rId27"/>
          <w:headerReference w:type="first" r:id="rId28"/>
          <w:footerReference w:type="first" r:id="rId29"/>
          <w:pgSz w:w="12240" w:h="15840"/>
          <w:pgMar w:top="1134" w:right="1134" w:bottom="1134" w:left="1134" w:header="720" w:footer="720" w:gutter="0"/>
          <w:cols w:space="720"/>
          <w:docGrid w:linePitch="360"/>
        </w:sectPr>
      </w:pPr>
    </w:p>
    <w:p w14:paraId="57649B2A" w14:textId="5D032966" w:rsidR="00420A13" w:rsidRPr="00420A13" w:rsidRDefault="00C74DE5" w:rsidP="00420A13">
      <w:pPr>
        <w:ind w:firstLine="0"/>
        <w:rPr>
          <w:lang w:val="vi-VN"/>
        </w:rPr>
      </w:pPr>
      <w:r>
        <w:rPr>
          <w:lang w:val="vi-VN"/>
        </w:rPr>
        <w:object w:dxaOrig="14100" w:dyaOrig="11244" w14:anchorId="593D6C91">
          <v:shape id="_x0000_i1055" type="#_x0000_t75" style="width:705pt;height:562.8pt" o:ole="">
            <v:imagedata r:id="rId30" o:title=""/>
          </v:shape>
          <o:OLEObject Type="Link" ProgID="Excel.Sheet.12" ShapeID="_x0000_i1055" DrawAspect="Content" r:id="rId31"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9F4D1F">
          <w:headerReference w:type="default" r:id="rId32"/>
          <w:pgSz w:w="15840" w:h="12240" w:orient="landscape"/>
          <w:pgMar w:top="709" w:right="1134" w:bottom="1134" w:left="1134" w:header="426"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5978054D" w:rsidR="00492D75" w:rsidRPr="00492D75" w:rsidRDefault="0084493A" w:rsidP="00492D75">
      <w:pPr>
        <w:rPr>
          <w:lang w:val="vi-VN"/>
        </w:rPr>
      </w:pPr>
      <w:r>
        <w:rPr>
          <w:lang w:val="vi-VN"/>
        </w:rPr>
        <w:t xml:space="preserve">NPV = </w:t>
      </w:r>
      <w:r w:rsidR="00247A65" w:rsidRPr="00247A65">
        <w:rPr>
          <w:lang w:val="vi-VN"/>
        </w:rPr>
        <w:t>3,015,994,455</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7CDFEFA1" w:rsidR="0084493A" w:rsidRPr="0084493A" w:rsidRDefault="0084493A" w:rsidP="0084493A">
      <w:pPr>
        <w:rPr>
          <w:lang w:val="vi-VN"/>
        </w:rPr>
      </w:pPr>
      <w:r>
        <w:rPr>
          <w:lang w:val="vi-VN"/>
        </w:rPr>
        <w:t xml:space="preserve">IRR = </w:t>
      </w:r>
      <w:r w:rsidR="00247A65" w:rsidRPr="00247A65">
        <w:rPr>
          <w:lang w:val="vi-VN"/>
        </w:rPr>
        <w:t>92.46</w:t>
      </w:r>
      <w:r w:rsidR="007F50F6" w:rsidRPr="007F50F6">
        <w:rPr>
          <w:lang w:val="vi-VN"/>
        </w:rPr>
        <w:t>%</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293ABD4B" w:rsidR="0084493A" w:rsidRPr="0084493A" w:rsidRDefault="0084493A" w:rsidP="0084493A">
      <w:pPr>
        <w:rPr>
          <w:lang w:val="vi-VN"/>
        </w:rPr>
      </w:pPr>
      <w:r>
        <w:rPr>
          <w:lang w:val="vi-VN"/>
        </w:rPr>
        <w:t xml:space="preserve">Thời gian thu hồi vốn: </w:t>
      </w:r>
      <w:r w:rsidRPr="0084493A">
        <w:rPr>
          <w:lang w:val="vi-VN"/>
        </w:rPr>
        <w:t xml:space="preserve">1 năm </w:t>
      </w:r>
      <w:r w:rsidR="00247A65">
        <w:t>10</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48B4C60E" w:rsidR="0084493A" w:rsidRDefault="0084493A" w:rsidP="0084493A">
      <w:pPr>
        <w:rPr>
          <w:lang w:val="vi-VN"/>
        </w:rPr>
      </w:pPr>
      <w:r>
        <w:rPr>
          <w:lang w:val="vi-VN"/>
        </w:rPr>
        <w:t xml:space="preserve">BEP = </w:t>
      </w:r>
      <w:r w:rsidR="007F50F6">
        <w:t>80</w:t>
      </w:r>
      <w:r>
        <w:rPr>
          <w:lang w:val="vi-VN"/>
        </w:rPr>
        <w:t xml:space="preserve"> website</w:t>
      </w:r>
    </w:p>
    <w:p w14:paraId="07B1CD98" w14:textId="4FDB0144" w:rsidR="00CD79A7" w:rsidRDefault="00CD79A7" w:rsidP="00CD79A7">
      <w:pPr>
        <w:pStyle w:val="Heading1"/>
      </w:pPr>
      <w:r w:rsidRPr="003E21C3">
        <w:t>11. Kế hoạch quản lý rủi ro.</w:t>
      </w:r>
    </w:p>
    <w:p w14:paraId="1FCC660C" w14:textId="5E47FE1D" w:rsidR="0016596A" w:rsidRPr="0016596A" w:rsidRDefault="00C74DE5" w:rsidP="0016596A">
      <w:pPr>
        <w:ind w:firstLine="0"/>
        <w:rPr>
          <w:lang w:val="vi" w:eastAsia="vi"/>
        </w:rPr>
      </w:pPr>
      <w:r>
        <w:rPr>
          <w:lang w:val="vi" w:eastAsia="vi"/>
        </w:rPr>
        <w:object w:dxaOrig="9588" w:dyaOrig="3468" w14:anchorId="6A5E845D">
          <v:shape id="_x0000_i1057" type="#_x0000_t75" style="width:499.8pt;height:177.6pt" o:ole="">
            <v:imagedata r:id="rId33" o:title=""/>
          </v:shape>
          <o:OLEObject Type="Link" ProgID="Excel.Sheet.12" ShapeID="_x0000_i1057" DrawAspect="Content" r:id="rId34" UpdateMode="Always">
            <o:LinkType>EnhancedMetaFile</o:LinkType>
            <o:LockedField>false</o:LockedField>
            <o:FieldCodes>\* MERGEFORMAT</o:FieldCodes>
          </o:OLEObject>
        </w:objec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lastRenderedPageBreak/>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35"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36"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4C14B193" w14:textId="7BD836E1" w:rsidR="00514961" w:rsidRPr="006F60F6" w:rsidRDefault="00CD79A7" w:rsidP="006F60F6">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672A9E18" w14:textId="77777777" w:rsidR="00A805A4" w:rsidRPr="00A805A4" w:rsidRDefault="00A805A4" w:rsidP="00A805A4">
      <w:pPr>
        <w:pStyle w:val="Heading1"/>
      </w:pPr>
      <w:r w:rsidRPr="00A805A4">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6556C740" w:rsidR="00A805A4" w:rsidRPr="00A805A4" w:rsidRDefault="00A805A4" w:rsidP="00A805A4">
      <w:r w:rsidRPr="00A805A4">
        <w:t>Lập page công ty trên các nền tảng: facebook</w:t>
      </w:r>
      <w:r w:rsidR="006F60F6">
        <w:t>, youtube,…</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247A65">
      <w:pPr>
        <w:pStyle w:val="Heading3"/>
      </w:pPr>
      <w:r w:rsidRPr="00A805A4">
        <w:lastRenderedPageBreak/>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Trong trường hợp không gian mặt tiền không đủ để tổ chức lễ khai trương thì chọn phương án tổ chức trong showroom, văn phòng… Phương án này an toàn hơn về thời tiết, chủ động 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247A65">
      <w:pPr>
        <w:pStyle w:val="Heading3"/>
      </w:pPr>
      <w:r w:rsidRPr="00A805A4">
        <w:t>Lên ngân sách cho kế hoạch tổ chức khai trương chi tiết:</w:t>
      </w:r>
    </w:p>
    <w:p w14:paraId="304E23C0" w14:textId="38B9A9D3" w:rsidR="00A805A4" w:rsidRPr="00A805A4" w:rsidRDefault="00A805A4" w:rsidP="00A805A4">
      <w:r w:rsidRPr="00A805A4">
        <w:t>Khi lên ngân sách, doanh nghiệp cần hoạch định các yếu tố cần phải chi</w:t>
      </w:r>
      <w:r w:rsidR="00247A65">
        <w:t xml:space="preserve"> tiết</w:t>
      </w:r>
      <w:r w:rsidR="00247A65">
        <w:rPr>
          <w:lang w:val="vi-VN"/>
        </w:rPr>
        <w:t>,</w:t>
      </w:r>
      <w:r w:rsidRPr="00A805A4">
        <w:t xml:space="preserve">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247A65">
      <w:pPr>
        <w:pStyle w:val="Heading3"/>
      </w:pPr>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lastRenderedPageBreak/>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p w14:paraId="4ED099AF" w14:textId="354FF03E" w:rsidR="00ED1229" w:rsidRDefault="00C74DE5" w:rsidP="00247A65">
      <w:pPr>
        <w:ind w:firstLine="0"/>
      </w:pPr>
      <w:r>
        <w:object w:dxaOrig="10188" w:dyaOrig="5880" w14:anchorId="5CBE1DC4">
          <v:shape id="_x0000_i1059" type="#_x0000_t75" style="width:509.4pt;height:294pt" o:ole="">
            <v:imagedata r:id="rId37" o:title=""/>
          </v:shape>
          <o:OLEObject Type="Link" ProgID="Excel.Sheet.12" ShapeID="_x0000_i1059" DrawAspect="Content" r:id="rId38" UpdateMode="Always">
            <o:LinkType>EnhancedMetaFile</o:LinkType>
            <o:LockedField>false</o:LockedField>
          </o:OLEObject>
        </w:object>
      </w:r>
    </w:p>
    <w:p w14:paraId="799B289A" w14:textId="45B4C7EA" w:rsidR="00B55640" w:rsidRPr="001D52C7" w:rsidRDefault="00B55640" w:rsidP="00BE4063">
      <w:pPr>
        <w:ind w:firstLine="0"/>
      </w:pPr>
    </w:p>
    <w:sectPr w:rsidR="00B55640" w:rsidRPr="001D52C7" w:rsidSect="00492D75">
      <w:headerReference w:type="default" r:id="rId3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5515" w14:textId="77777777" w:rsidR="000F4582" w:rsidRDefault="000F4582" w:rsidP="00186402">
      <w:pPr>
        <w:spacing w:after="0" w:line="240" w:lineRule="auto"/>
      </w:pPr>
      <w:r>
        <w:separator/>
      </w:r>
    </w:p>
  </w:endnote>
  <w:endnote w:type="continuationSeparator" w:id="0">
    <w:p w14:paraId="09D5CBCA" w14:textId="77777777" w:rsidR="000F4582" w:rsidRDefault="000F4582"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32B8" w14:textId="77777777" w:rsidR="009F4D1F" w:rsidRDefault="009F4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5F" w14:textId="77777777" w:rsidR="009F4D1F" w:rsidRDefault="009F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662B" w14:textId="77777777" w:rsidR="000F4582" w:rsidRDefault="000F4582" w:rsidP="00186402">
      <w:pPr>
        <w:spacing w:after="0" w:line="240" w:lineRule="auto"/>
      </w:pPr>
      <w:r>
        <w:separator/>
      </w:r>
    </w:p>
  </w:footnote>
  <w:footnote w:type="continuationSeparator" w:id="0">
    <w:p w14:paraId="5FD4BAA3" w14:textId="77777777" w:rsidR="000F4582" w:rsidRDefault="000F4582"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0D3" w14:textId="77777777" w:rsidR="009F4D1F" w:rsidRDefault="009F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3252" w14:textId="77777777" w:rsidR="009F4D1F" w:rsidRDefault="009F4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BE11" w14:textId="77777777" w:rsidR="009F4D1F" w:rsidRDefault="009F4D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0F4582"/>
    <w:rsid w:val="00126914"/>
    <w:rsid w:val="0016596A"/>
    <w:rsid w:val="00186402"/>
    <w:rsid w:val="001D11EF"/>
    <w:rsid w:val="001E4C4E"/>
    <w:rsid w:val="001F375A"/>
    <w:rsid w:val="001F4929"/>
    <w:rsid w:val="00247A65"/>
    <w:rsid w:val="00263498"/>
    <w:rsid w:val="00292FFA"/>
    <w:rsid w:val="00294991"/>
    <w:rsid w:val="002A01DD"/>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6680D"/>
    <w:rsid w:val="005E6392"/>
    <w:rsid w:val="006F0B85"/>
    <w:rsid w:val="006F32B2"/>
    <w:rsid w:val="006F60F6"/>
    <w:rsid w:val="0070127C"/>
    <w:rsid w:val="00704F17"/>
    <w:rsid w:val="007065C4"/>
    <w:rsid w:val="00735F82"/>
    <w:rsid w:val="007A4E6D"/>
    <w:rsid w:val="007C04BD"/>
    <w:rsid w:val="007D057D"/>
    <w:rsid w:val="007E7684"/>
    <w:rsid w:val="007F50F6"/>
    <w:rsid w:val="007F62DF"/>
    <w:rsid w:val="0084493A"/>
    <w:rsid w:val="00847A41"/>
    <w:rsid w:val="0086000F"/>
    <w:rsid w:val="008C68A8"/>
    <w:rsid w:val="00921086"/>
    <w:rsid w:val="00921302"/>
    <w:rsid w:val="00943BE3"/>
    <w:rsid w:val="00971C86"/>
    <w:rsid w:val="0097675C"/>
    <w:rsid w:val="009B6DC3"/>
    <w:rsid w:val="009C03C3"/>
    <w:rsid w:val="009D624C"/>
    <w:rsid w:val="009F4882"/>
    <w:rsid w:val="009F4D1F"/>
    <w:rsid w:val="00A26CF9"/>
    <w:rsid w:val="00A30D36"/>
    <w:rsid w:val="00A60E1A"/>
    <w:rsid w:val="00A615C2"/>
    <w:rsid w:val="00A805A4"/>
    <w:rsid w:val="00A93204"/>
    <w:rsid w:val="00AA64AE"/>
    <w:rsid w:val="00AA7E96"/>
    <w:rsid w:val="00AC6ECA"/>
    <w:rsid w:val="00AD0EBA"/>
    <w:rsid w:val="00AE0939"/>
    <w:rsid w:val="00AE4920"/>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74DE5"/>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1937052541">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footer" Target="footer1.xml"/><Relationship Id="rId39" Type="http://schemas.openxmlformats.org/officeDocument/2006/relationships/header" Target="header5.xml"/><Relationship Id="rId21" Type="http://schemas.openxmlformats.org/officeDocument/2006/relationships/oleObject" Target="file:///C:\Users\pc\Desktop\khoi%20nghiep\du%20tinh.xlsx!tra%20n&#7907;%20vay!R1C1:R11C6" TargetMode="External"/><Relationship Id="rId34" Type="http://schemas.openxmlformats.org/officeDocument/2006/relationships/oleObject" Target="file:///C:\Users\pc\Desktop\khoi%20nghiep\du%20tinh.xlsx!ph&#226;n%20t&#237;ch%20r&#7911;i%20ro!R1C1:R8C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image" Target="media/image1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eader" Target="header3.xml"/><Relationship Id="rId36" Type="http://schemas.openxmlformats.org/officeDocument/2006/relationships/hyperlink" Target="https://xuatnhapkhauleanh.edu.vn/khoa-hoc/khoa-hoc-xuat-nhap-khau-online.html"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D&#242;ng%20ti&#7873;n!R1C1:R22C7"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image" Target="media/image10.emf"/><Relationship Id="rId35" Type="http://schemas.openxmlformats.org/officeDocument/2006/relationships/hyperlink" Target="https://kynangketoan.vn/review-hoc-ke-toan-online-o-dau-tot-nhat.html" TargetMode="Externa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5C6" TargetMode="External"/><Relationship Id="rId25" Type="http://schemas.openxmlformats.org/officeDocument/2006/relationships/header" Target="header2.xml"/><Relationship Id="rId33" Type="http://schemas.openxmlformats.org/officeDocument/2006/relationships/image" Target="media/image11.emf"/><Relationship Id="rId38" Type="http://schemas.openxmlformats.org/officeDocument/2006/relationships/oleObject" Target="file:///C:\Users\pc\Desktop\khoi%20nghiep\du%20tinh.xlsx!ke%20hoach%20trien%20khai!R1C1:R10C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cp:revision>
  <dcterms:created xsi:type="dcterms:W3CDTF">2021-12-03T12:02:00Z</dcterms:created>
  <dcterms:modified xsi:type="dcterms:W3CDTF">2021-12-03T12:02:00Z</dcterms:modified>
</cp:coreProperties>
</file>