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b/>
          <w:sz w:val="34"/>
        </w:rPr>
        <w:t>Final Report: TAAC/UniRec Baseline and UFI-Former Direction</w:t>
      </w:r>
    </w:p>
    <w:p>
      <w:pPr>
        <w:spacing w:after="40" w:before="0" w:line="240" w:lineRule="auto"/>
        <w:jc w:val="center"/>
      </w:pPr>
      <w:r>
        <w:rPr>
          <w:i/>
        </w:rPr>
        <w:t>Course: COM SCI 247 | Team Members: Ibrahim Bitar, Dang Le | Date: 5/11/2026</w:t>
      </w:r>
    </w:p>
    <w:p>
      <w:pPr>
        <w:spacing w:after="40" w:before="0" w:line="240" w:lineRule="auto"/>
      </w:pPr>
      <w:r>
        <w:rPr>
          <w:b/>
        </w:rPr>
        <w:t xml:space="preserve">Working thesis: </w:t>
      </w:r>
      <w:r>
        <w:t>We model user/item/context features and multi-domain behavior sequences for conversion-rate prediction. The current notebook validates a stable PyTorch baseline using sparse user/item features, while the planned next model extends the design toward a unified token-based feature-interaction Transformer.</w:t>
      </w:r>
    </w:p>
    <w:p>
      <w:pPr>
        <w:pStyle w:val="Heading1"/>
        <w:spacing w:after="40" w:before="0" w:line="240" w:lineRule="auto"/>
      </w:pPr>
      <w:r>
        <w:t>1. Goal of the Final Report</w:t>
      </w:r>
    </w:p>
    <w:p>
      <w:pPr>
        <w:spacing w:after="40" w:before="0" w:line="240" w:lineRule="auto"/>
      </w:pPr>
      <w:r>
        <w:t>The goal of this final report is to document what we built, what training choices we tested, what we learned from the experiments, and how those choices affected model behavior. The grading instructions emphasize insight and analysis rather than only raw score, so this report explains the baseline pipeline, debugging decisions, hyperparameters, architectural choices, performance-score calculation, and next steps.</w:t>
      </w:r>
    </w:p>
    <w:p>
      <w:pPr>
        <w:spacing w:after="40" w:before="0" w:line="240" w:lineRule="auto"/>
      </w:pPr>
      <w:r>
        <w:t>The task is a recommendation/conversion prediction problem evaluated with ROC-AUC. A stronger model should rank positive conversion examples above negative examples while staying practical enough for inference.</w:t>
      </w:r>
    </w:p>
    <w:p>
      <w:pPr>
        <w:pStyle w:val="Heading1"/>
        <w:spacing w:after="40" w:before="0" w:line="240" w:lineRule="auto"/>
      </w:pPr>
      <w:r>
        <w:t>2. What the Notebook Does</w:t>
      </w:r>
    </w:p>
    <w:p>
      <w:pPr>
        <w:pStyle w:val="ListBullet"/>
        <w:spacing w:after="40" w:before="0" w:line="240" w:lineRule="auto"/>
      </w:pPr>
      <w:r>
        <w:t>Loads the TAAC2026/data_sample_1000 dataset with Hugging Face Datasets.</w:t>
      </w:r>
    </w:p>
    <w:p>
      <w:pPr>
        <w:pStyle w:val="ListBullet"/>
        <w:spacing w:after="40" w:before="0" w:line="240" w:lineRule="auto"/>
      </w:pPr>
      <w:r>
        <w:t>Inspects label values and converts label_type into binary 0/1 targets for binary classification.</w:t>
      </w:r>
    </w:p>
    <w:p>
      <w:pPr>
        <w:pStyle w:val="ListBullet"/>
        <w:spacing w:after="40" w:before="0" w:line="240" w:lineRule="auto"/>
      </w:pPr>
      <w:r>
        <w:t>Separates the feature schema into scalar sparse, list sparse, dense, and domain sequence feature groups.</w:t>
      </w:r>
    </w:p>
    <w:p>
      <w:pPr>
        <w:pStyle w:val="ListBullet"/>
        <w:spacing w:after="40" w:before="0" w:line="240" w:lineRule="auto"/>
      </w:pPr>
      <w:r>
        <w:t>Uses a compact scalar sparse feature subset for a stable first baseline.</w:t>
      </w:r>
    </w:p>
    <w:p>
      <w:pPr>
        <w:pStyle w:val="ListBullet"/>
        <w:spacing w:after="40" w:before="0" w:line="240" w:lineRule="auto"/>
      </w:pPr>
      <w:r>
        <w:t>Splits data before vocabulary construction to avoid validation leakage.</w:t>
      </w:r>
    </w:p>
    <w:p>
      <w:pPr>
        <w:pStyle w:val="ListBullet"/>
        <w:spacing w:after="40" w:before="0" w:line="240" w:lineRule="auto"/>
      </w:pPr>
      <w:r>
        <w:t>Builds a PyTorch Dataset/DataLoader that maps categorical feature values into embedding IDs.</w:t>
      </w:r>
    </w:p>
    <w:p>
      <w:pPr>
        <w:pStyle w:val="ListBullet"/>
        <w:spacing w:after="40" w:before="0" w:line="240" w:lineRule="auto"/>
      </w:pPr>
      <w:r>
        <w:t>Trains a MultiFieldMLP with embedding layers and an MLP prediction head.</w:t>
      </w:r>
    </w:p>
    <w:p>
      <w:pPr>
        <w:pStyle w:val="ListBullet"/>
        <w:spacing w:after="40" w:before="0" w:line="240" w:lineRule="auto"/>
      </w:pPr>
      <w:r>
        <w:t>Uses raw logits with BCEWithLogitsLoss for numerical stability.</w:t>
      </w:r>
    </w:p>
    <w:p>
      <w:pPr>
        <w:pStyle w:val="ListBullet"/>
        <w:spacing w:after="40" w:before="0" w:line="240" w:lineRule="auto"/>
      </w:pPr>
      <w:r>
        <w:t>Tracks train loss, validation loss, validation AUC when defined, and saves results/checkpoints.</w:t>
      </w:r>
    </w:p>
    <w:p>
      <w:pPr>
        <w:pStyle w:val="Heading1"/>
        <w:spacing w:after="40" w:before="0" w:line="240" w:lineRule="auto"/>
      </w:pPr>
      <w:r>
        <w:t>3. Where Dang's Role Is Applied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pPr>
              <w:spacing w:after="0" w:line="240" w:lineRule="auto"/>
            </w:pPr>
            <w:r>
              <w:rPr>
                <w:b/>
                <w:sz w:val="17"/>
              </w:rPr>
              <w:t>Dang role</w:t>
            </w:r>
          </w:p>
        </w:tc>
        <w:tc>
          <w:tcPr>
            <w:tcW w:type="dxa" w:w="3360"/>
            <w:shd w:fill="D9EAF7"/>
          </w:tcPr>
          <w:p>
            <w:pPr>
              <w:spacing w:after="0" w:line="240" w:lineRule="auto"/>
            </w:pPr>
            <w:r>
              <w:rPr>
                <w:b/>
                <w:sz w:val="17"/>
              </w:rPr>
              <w:t>Notebook location</w:t>
            </w:r>
          </w:p>
        </w:tc>
        <w:tc>
          <w:tcPr>
            <w:tcW w:type="dxa" w:w="3360"/>
            <w:shd w:fill="D9EAF7"/>
          </w:tcPr>
          <w:p>
            <w:pPr>
              <w:spacing w:after="0" w:line="240" w:lineRule="auto"/>
            </w:pPr>
            <w:r>
              <w:rPr>
                <w:b/>
                <w:sz w:val="17"/>
              </w:rPr>
              <w:t>How it applies</w:t>
            </w:r>
          </w:p>
        </w:tc>
      </w:tr>
      <w:tr>
        <w:tc>
          <w:tcPr>
            <w:tcW w:type="dxa" w:w="3360"/>
            <w:vAlign w:val="top"/>
          </w:tcPr>
          <w:p>
            <w:pPr>
              <w:spacing w:after="0" w:line="240" w:lineRule="auto"/>
            </w:pPr>
            <w:r>
              <w:rPr>
                <w:sz w:val="17"/>
              </w:rPr>
              <w:t>Feature schema review</w:t>
            </w:r>
          </w:p>
        </w:tc>
        <w:tc>
          <w:tcPr>
            <w:tcW w:type="dxa" w:w="3360"/>
            <w:vAlign w:val="top"/>
          </w:tcPr>
          <w:p>
            <w:pPr>
              <w:spacing w:after="0" w:line="240" w:lineRule="auto"/>
            </w:pPr>
            <w:r>
              <w:rPr>
                <w:sz w:val="17"/>
              </w:rPr>
              <w:t>Sections 2–3: feature-group discovery and starter feature selection</w:t>
            </w:r>
          </w:p>
        </w:tc>
        <w:tc>
          <w:tcPr>
            <w:tcW w:type="dxa" w:w="3360"/>
            <w:vAlign w:val="top"/>
          </w:tcPr>
          <w:p>
            <w:pPr>
              <w:spacing w:after="0" w:line="240" w:lineRule="auto"/>
            </w:pPr>
            <w:r>
              <w:rPr>
                <w:sz w:val="17"/>
              </w:rPr>
              <w:t>This work identifies which columns are scalar sparse, list sparse, dense, or sequence fields. That schema review is necessary before choosing model inputs or extending the model.</w:t>
            </w:r>
          </w:p>
        </w:tc>
      </w:tr>
      <w:tr>
        <w:tc>
          <w:tcPr>
            <w:tcW w:type="dxa" w:w="3360"/>
            <w:vAlign w:val="top"/>
          </w:tcPr>
          <w:p>
            <w:pPr>
              <w:spacing w:after="0" w:line="240" w:lineRule="auto"/>
            </w:pPr>
            <w:r>
              <w:rPr>
                <w:sz w:val="17"/>
              </w:rPr>
              <w:t>Model architecture review / implementation support</w:t>
            </w:r>
          </w:p>
        </w:tc>
        <w:tc>
          <w:tcPr>
            <w:tcW w:type="dxa" w:w="3360"/>
            <w:vAlign w:val="top"/>
          </w:tcPr>
          <w:p>
            <w:pPr>
              <w:spacing w:after="0" w:line="240" w:lineRule="auto"/>
            </w:pPr>
            <w:r>
              <w:rPr>
                <w:sz w:val="17"/>
              </w:rPr>
              <w:t>Sections 4–5: SparseCTRDataset, MultiFieldMLP, evaluate, training loop</w:t>
            </w:r>
          </w:p>
        </w:tc>
        <w:tc>
          <w:tcPr>
            <w:tcW w:type="dxa" w:w="3360"/>
            <w:vAlign w:val="top"/>
          </w:tcPr>
          <w:p>
            <w:pPr>
              <w:spacing w:after="0" w:line="240" w:lineRule="auto"/>
            </w:pPr>
            <w:r>
              <w:rPr>
                <w:sz w:val="17"/>
              </w:rPr>
              <w:t>This is where the baseline architecture is implemented: categorical fields become embeddings, embeddings are concatenated, and an MLP produces a raw conversion logit.</w:t>
            </w:r>
          </w:p>
        </w:tc>
      </w:tr>
      <w:tr>
        <w:tc>
          <w:tcPr>
            <w:tcW w:type="dxa" w:w="3360"/>
            <w:vAlign w:val="top"/>
          </w:tcPr>
          <w:p>
            <w:pPr>
              <w:spacing w:after="0" w:line="240" w:lineRule="auto"/>
            </w:pPr>
            <w:r>
              <w:rPr>
                <w:sz w:val="17"/>
              </w:rPr>
              <w:t>Experiment tracking</w:t>
            </w:r>
          </w:p>
        </w:tc>
        <w:tc>
          <w:tcPr>
            <w:tcW w:type="dxa" w:w="3360"/>
            <w:vAlign w:val="top"/>
          </w:tcPr>
          <w:p>
            <w:pPr>
              <w:spacing w:after="0" w:line="240" w:lineRule="auto"/>
            </w:pPr>
            <w:r>
              <w:rPr>
                <w:sz w:val="17"/>
              </w:rPr>
              <w:t>Sections 5–6: history, results_df, saved CSV, saved checkpoint</w:t>
            </w:r>
          </w:p>
        </w:tc>
        <w:tc>
          <w:tcPr>
            <w:tcW w:type="dxa" w:w="3360"/>
            <w:vAlign w:val="top"/>
          </w:tcPr>
          <w:p>
            <w:pPr>
              <w:spacing w:after="0" w:line="240" w:lineRule="auto"/>
            </w:pPr>
            <w:r>
              <w:rPr>
                <w:sz w:val="17"/>
              </w:rPr>
              <w:t>This records train loss, validation loss, validation AUC, model settings, and artifacts so experiments can be compared later.</w:t>
            </w:r>
          </w:p>
        </w:tc>
      </w:tr>
      <w:tr>
        <w:tc>
          <w:tcPr>
            <w:tcW w:type="dxa" w:w="3360"/>
            <w:vAlign w:val="top"/>
          </w:tcPr>
          <w:p>
            <w:pPr>
              <w:spacing w:after="0" w:line="240" w:lineRule="auto"/>
            </w:pPr>
            <w:r>
              <w:rPr>
                <w:sz w:val="17"/>
              </w:rPr>
              <w:t>Report editing</w:t>
            </w:r>
          </w:p>
        </w:tc>
        <w:tc>
          <w:tcPr>
            <w:tcW w:type="dxa" w:w="3360"/>
            <w:vAlign w:val="top"/>
          </w:tcPr>
          <w:p>
            <w:pPr>
              <w:spacing w:after="0" w:line="240" w:lineRule="auto"/>
            </w:pPr>
            <w:r>
              <w:rPr>
                <w:sz w:val="17"/>
              </w:rPr>
              <w:t>Section 7 and final-report section added to the notebook</w:t>
            </w:r>
          </w:p>
        </w:tc>
        <w:tc>
          <w:tcPr>
            <w:tcW w:type="dxa" w:w="3360"/>
            <w:vAlign w:val="top"/>
          </w:tcPr>
          <w:p>
            <w:pPr>
              <w:spacing w:after="0" w:line="240" w:lineRule="auto"/>
            </w:pPr>
            <w:r>
              <w:rPr>
                <w:sz w:val="17"/>
              </w:rPr>
              <w:t>This turns the working code into a submission-ready explanation of methods, findings, and lessons learned.</w:t>
            </w:r>
          </w:p>
        </w:tc>
      </w:tr>
    </w:tbl>
    <w:p>
      <w:pPr>
        <w:spacing w:after="40" w:before="0" w:line="240" w:lineRule="auto"/>
      </w:pPr>
    </w:p>
    <w:p>
      <w:pPr>
        <w:pStyle w:val="Heading1"/>
        <w:spacing w:after="40" w:before="0" w:line="240" w:lineRule="auto"/>
      </w:pPr>
      <w:r>
        <w:t>4. Training Strategies Tested</w:t>
      </w:r>
    </w:p>
    <w:p>
      <w:pPr>
        <w:pStyle w:val="ListBullet"/>
        <w:spacing w:after="40" w:before="0" w:line="240" w:lineRule="auto"/>
      </w:pPr>
      <w:r>
        <w:rPr>
          <w:b/>
        </w:rPr>
        <w:t xml:space="preserve">Small-sample pipeline validation: </w:t>
      </w:r>
      <w:r>
        <w:t>We started on the 1K sample to quickly verify labels, feature mapping, loss computation, and evaluation before scaling to the full dataset.</w:t>
      </w:r>
    </w:p>
    <w:p>
      <w:pPr>
        <w:pStyle w:val="ListBullet"/>
        <w:spacing w:after="40" w:before="0" w:line="240" w:lineRule="auto"/>
      </w:pPr>
      <w:r>
        <w:rPr>
          <w:b/>
        </w:rPr>
        <w:t xml:space="preserve">Train/validation split before vocabulary building: </w:t>
      </w:r>
      <w:r>
        <w:t>Vocabularies are built from training data only, which avoids leaking validation information into the model.</w:t>
      </w:r>
    </w:p>
    <w:p>
      <w:pPr>
        <w:pStyle w:val="ListBullet"/>
        <w:spacing w:after="40" w:before="0" w:line="240" w:lineRule="auto"/>
      </w:pPr>
      <w:r>
        <w:rPr>
          <w:b/>
        </w:rPr>
        <w:t xml:space="preserve">Stable binary classification objective: </w:t>
      </w:r>
      <w:r>
        <w:t>The notebook uses BCEWithLogitsLoss with raw logits. Sigmoid is only applied during evaluation to compute probabilities.</w:t>
      </w:r>
    </w:p>
    <w:p>
      <w:pPr>
        <w:pStyle w:val="ListBullet"/>
        <w:spacing w:after="40" w:before="0" w:line="240" w:lineRule="auto"/>
      </w:pPr>
      <w:r>
        <w:rPr>
          <w:b/>
        </w:rPr>
        <w:t xml:space="preserve">Regularized training loop: </w:t>
      </w:r>
      <w:r>
        <w:t>The model uses dropout, AdamW weight decay, and gradient clipping to improve stability and reduce overfitting on a small sample.</w:t>
      </w:r>
    </w:p>
    <w:p>
      <w:pPr>
        <w:pStyle w:val="Heading1"/>
        <w:spacing w:after="40" w:before="0" w:line="240" w:lineRule="auto"/>
      </w:pPr>
      <w:r>
        <w:t>5. Hyperparameters and Architectural Choices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pPr>
              <w:spacing w:after="0" w:line="240" w:lineRule="auto"/>
            </w:pPr>
            <w:r>
              <w:rPr>
                <w:b/>
                <w:sz w:val="17"/>
              </w:rPr>
              <w:t>Choice</w:t>
            </w:r>
          </w:p>
        </w:tc>
        <w:tc>
          <w:tcPr>
            <w:tcW w:type="dxa" w:w="2520"/>
            <w:shd w:fill="D9EAF7"/>
          </w:tcPr>
          <w:p>
            <w:pPr>
              <w:spacing w:after="0" w:line="240" w:lineRule="auto"/>
            </w:pPr>
            <w:r>
              <w:rPr>
                <w:b/>
                <w:sz w:val="17"/>
              </w:rPr>
              <w:t>Current value</w:t>
            </w:r>
          </w:p>
        </w:tc>
        <w:tc>
          <w:tcPr>
            <w:tcW w:type="dxa" w:w="2520"/>
            <w:shd w:fill="D9EAF7"/>
          </w:tcPr>
          <w:p>
            <w:pPr>
              <w:spacing w:after="0" w:line="240" w:lineRule="auto"/>
            </w:pPr>
            <w:r>
              <w:rPr>
                <w:b/>
                <w:sz w:val="17"/>
              </w:rPr>
              <w:t>Reason</w:t>
            </w:r>
          </w:p>
        </w:tc>
        <w:tc>
          <w:tcPr>
            <w:tcW w:type="dxa" w:w="2520"/>
            <w:shd w:fill="D9EAF7"/>
          </w:tcPr>
          <w:p>
            <w:pPr>
              <w:spacing w:after="0" w:line="240" w:lineRule="auto"/>
            </w:pPr>
            <w:r>
              <w:rPr>
                <w:b/>
                <w:sz w:val="17"/>
              </w:rPr>
              <w:t>Expected impact</w:t>
            </w:r>
          </w:p>
        </w:tc>
      </w:tr>
      <w:tr>
        <w:tc>
          <w:tcPr>
            <w:tcW w:type="dxa" w:w="2520"/>
            <w:vAlign w:val="top"/>
          </w:tcPr>
          <w:p>
            <w:pPr>
              <w:spacing w:after="0" w:line="240" w:lineRule="auto"/>
            </w:pPr>
            <w:r>
              <w:rPr>
                <w:sz w:val="17"/>
              </w:rPr>
              <w:t>Embedding dimension</w:t>
            </w:r>
          </w:p>
        </w:tc>
        <w:tc>
          <w:tcPr>
            <w:tcW w:type="dxa" w:w="2520"/>
            <w:vAlign w:val="top"/>
          </w:tcPr>
          <w:p>
            <w:pPr>
              <w:spacing w:after="0" w:line="240" w:lineRule="auto"/>
            </w:pPr>
            <w:r>
              <w:rPr>
                <w:sz w:val="17"/>
              </w:rPr>
              <w:t>16</w:t>
            </w:r>
          </w:p>
        </w:tc>
        <w:tc>
          <w:tcPr>
            <w:tcW w:type="dxa" w:w="2520"/>
            <w:vAlign w:val="top"/>
          </w:tcPr>
          <w:p>
            <w:pPr>
              <w:spacing w:after="0" w:line="240" w:lineRule="auto"/>
            </w:pPr>
            <w:r>
              <w:rPr>
                <w:sz w:val="17"/>
              </w:rPr>
              <w:t>Small and fast baseline</w:t>
            </w:r>
          </w:p>
        </w:tc>
        <w:tc>
          <w:tcPr>
            <w:tcW w:type="dxa" w:w="2520"/>
            <w:vAlign w:val="top"/>
          </w:tcPr>
          <w:p>
            <w:pPr>
              <w:spacing w:after="0" w:line="240" w:lineRule="auto"/>
            </w:pPr>
            <w:r>
              <w:rPr>
                <w:sz w:val="17"/>
              </w:rPr>
              <w:t>Keeps the parameter count low and reduces overfitting risk.</w:t>
            </w:r>
          </w:p>
        </w:tc>
      </w:tr>
      <w:tr>
        <w:tc>
          <w:tcPr>
            <w:tcW w:type="dxa" w:w="2520"/>
            <w:vAlign w:val="top"/>
          </w:tcPr>
          <w:p>
            <w:pPr>
              <w:spacing w:after="0" w:line="240" w:lineRule="auto"/>
            </w:pPr>
            <w:r>
              <w:rPr>
                <w:sz w:val="17"/>
              </w:rPr>
              <w:t>Hidden layers</w:t>
            </w:r>
          </w:p>
        </w:tc>
        <w:tc>
          <w:tcPr>
            <w:tcW w:type="dxa" w:w="2520"/>
            <w:vAlign w:val="top"/>
          </w:tcPr>
          <w:p>
            <w:pPr>
              <w:spacing w:after="0" w:line="240" w:lineRule="auto"/>
            </w:pPr>
            <w:r>
              <w:rPr>
                <w:sz w:val="17"/>
              </w:rPr>
              <w:t>64 → 32</w:t>
            </w:r>
          </w:p>
        </w:tc>
        <w:tc>
          <w:tcPr>
            <w:tcW w:type="dxa" w:w="2520"/>
            <w:vAlign w:val="top"/>
          </w:tcPr>
          <w:p>
            <w:pPr>
              <w:spacing w:after="0" w:line="240" w:lineRule="auto"/>
            </w:pPr>
            <w:r>
              <w:rPr>
                <w:sz w:val="17"/>
              </w:rPr>
              <w:t>Compact nonlinear MLP head</w:t>
            </w:r>
          </w:p>
        </w:tc>
        <w:tc>
          <w:tcPr>
            <w:tcW w:type="dxa" w:w="2520"/>
            <w:vAlign w:val="top"/>
          </w:tcPr>
          <w:p>
            <w:pPr>
              <w:spacing w:after="0" w:line="240" w:lineRule="auto"/>
            </w:pPr>
            <w:r>
              <w:rPr>
                <w:sz w:val="17"/>
              </w:rPr>
              <w:t>Learns basic feature interactions without making the baseline too heavy.</w:t>
            </w:r>
          </w:p>
        </w:tc>
      </w:tr>
      <w:tr>
        <w:tc>
          <w:tcPr>
            <w:tcW w:type="dxa" w:w="2520"/>
            <w:vAlign w:val="top"/>
          </w:tcPr>
          <w:p>
            <w:pPr>
              <w:spacing w:after="0" w:line="240" w:lineRule="auto"/>
            </w:pPr>
            <w:r>
              <w:rPr>
                <w:sz w:val="17"/>
              </w:rPr>
              <w:t>Dropout</w:t>
            </w:r>
          </w:p>
        </w:tc>
        <w:tc>
          <w:tcPr>
            <w:tcW w:type="dxa" w:w="2520"/>
            <w:vAlign w:val="top"/>
          </w:tcPr>
          <w:p>
            <w:pPr>
              <w:spacing w:after="0" w:line="240" w:lineRule="auto"/>
            </w:pPr>
            <w:r>
              <w:rPr>
                <w:sz w:val="17"/>
              </w:rPr>
              <w:t>0.25</w:t>
            </w:r>
          </w:p>
        </w:tc>
        <w:tc>
          <w:tcPr>
            <w:tcW w:type="dxa" w:w="2520"/>
            <w:vAlign w:val="top"/>
          </w:tcPr>
          <w:p>
            <w:pPr>
              <w:spacing w:after="0" w:line="240" w:lineRule="auto"/>
            </w:pPr>
            <w:r>
              <w:rPr>
                <w:sz w:val="17"/>
              </w:rPr>
              <w:t>Regularization</w:t>
            </w:r>
          </w:p>
        </w:tc>
        <w:tc>
          <w:tcPr>
            <w:tcW w:type="dxa" w:w="2520"/>
            <w:vAlign w:val="top"/>
          </w:tcPr>
          <w:p>
            <w:pPr>
              <w:spacing w:after="0" w:line="240" w:lineRule="auto"/>
            </w:pPr>
            <w:r>
              <w:rPr>
                <w:sz w:val="17"/>
              </w:rPr>
              <w:t>Reduces reliance on specific sparse feature IDs.</w:t>
            </w:r>
          </w:p>
        </w:tc>
      </w:tr>
      <w:tr>
        <w:tc>
          <w:tcPr>
            <w:tcW w:type="dxa" w:w="2520"/>
            <w:vAlign w:val="top"/>
          </w:tcPr>
          <w:p>
            <w:pPr>
              <w:spacing w:after="0" w:line="240" w:lineRule="auto"/>
            </w:pPr>
            <w:r>
              <w:rPr>
                <w:sz w:val="17"/>
              </w:rPr>
              <w:t>Optimizer</w:t>
            </w:r>
          </w:p>
        </w:tc>
        <w:tc>
          <w:tcPr>
            <w:tcW w:type="dxa" w:w="2520"/>
            <w:vAlign w:val="top"/>
          </w:tcPr>
          <w:p>
            <w:pPr>
              <w:spacing w:after="0" w:line="240" w:lineRule="auto"/>
            </w:pPr>
            <w:r>
              <w:rPr>
                <w:sz w:val="17"/>
              </w:rPr>
              <w:t>AdamW</w:t>
            </w:r>
          </w:p>
        </w:tc>
        <w:tc>
          <w:tcPr>
            <w:tcW w:type="dxa" w:w="2520"/>
            <w:vAlign w:val="top"/>
          </w:tcPr>
          <w:p>
            <w:pPr>
              <w:spacing w:after="0" w:line="240" w:lineRule="auto"/>
            </w:pPr>
            <w:r>
              <w:rPr>
                <w:sz w:val="17"/>
              </w:rPr>
              <w:t>Adaptive training with decoupled weight decay</w:t>
            </w:r>
          </w:p>
        </w:tc>
        <w:tc>
          <w:tcPr>
            <w:tcW w:type="dxa" w:w="2520"/>
            <w:vAlign w:val="top"/>
          </w:tcPr>
          <w:p>
            <w:pPr>
              <w:spacing w:after="0" w:line="240" w:lineRule="auto"/>
            </w:pPr>
            <w:r>
              <w:rPr>
                <w:sz w:val="17"/>
              </w:rPr>
              <w:t>Stable updates for embedding-heavy models.</w:t>
            </w:r>
          </w:p>
        </w:tc>
      </w:tr>
      <w:tr>
        <w:tc>
          <w:tcPr>
            <w:tcW w:type="dxa" w:w="2520"/>
            <w:vAlign w:val="top"/>
          </w:tcPr>
          <w:p>
            <w:pPr>
              <w:spacing w:after="0" w:line="240" w:lineRule="auto"/>
            </w:pPr>
            <w:r>
              <w:rPr>
                <w:sz w:val="17"/>
              </w:rPr>
              <w:t>Learning rate</w:t>
            </w:r>
          </w:p>
        </w:tc>
        <w:tc>
          <w:tcPr>
            <w:tcW w:type="dxa" w:w="2520"/>
            <w:vAlign w:val="top"/>
          </w:tcPr>
          <w:p>
            <w:pPr>
              <w:spacing w:after="0" w:line="240" w:lineRule="auto"/>
            </w:pPr>
            <w:r>
              <w:rPr>
                <w:sz w:val="17"/>
              </w:rPr>
              <w:t>3e-4</w:t>
            </w:r>
          </w:p>
        </w:tc>
        <w:tc>
          <w:tcPr>
            <w:tcW w:type="dxa" w:w="2520"/>
            <w:vAlign w:val="top"/>
          </w:tcPr>
          <w:p>
            <w:pPr>
              <w:spacing w:after="0" w:line="240" w:lineRule="auto"/>
            </w:pPr>
            <w:r>
              <w:rPr>
                <w:sz w:val="17"/>
              </w:rPr>
              <w:t>Conservative starting point</w:t>
            </w:r>
          </w:p>
        </w:tc>
        <w:tc>
          <w:tcPr>
            <w:tcW w:type="dxa" w:w="2520"/>
            <w:vAlign w:val="top"/>
          </w:tcPr>
          <w:p>
            <w:pPr>
              <w:spacing w:after="0" w:line="240" w:lineRule="auto"/>
            </w:pPr>
            <w:r>
              <w:rPr>
                <w:sz w:val="17"/>
              </w:rPr>
              <w:t>Avoids unstable jumps in BCE loss.</w:t>
            </w:r>
          </w:p>
        </w:tc>
      </w:tr>
      <w:tr>
        <w:tc>
          <w:tcPr>
            <w:tcW w:type="dxa" w:w="2520"/>
            <w:vAlign w:val="top"/>
          </w:tcPr>
          <w:p>
            <w:pPr>
              <w:spacing w:after="0" w:line="240" w:lineRule="auto"/>
            </w:pPr>
            <w:r>
              <w:rPr>
                <w:sz w:val="17"/>
              </w:rPr>
              <w:t>Weight decay</w:t>
            </w:r>
          </w:p>
        </w:tc>
        <w:tc>
          <w:tcPr>
            <w:tcW w:type="dxa" w:w="2520"/>
            <w:vAlign w:val="top"/>
          </w:tcPr>
          <w:p>
            <w:pPr>
              <w:spacing w:after="0" w:line="240" w:lineRule="auto"/>
            </w:pPr>
            <w:r>
              <w:rPr>
                <w:sz w:val="17"/>
              </w:rPr>
              <w:t>1e-4</w:t>
            </w:r>
          </w:p>
        </w:tc>
        <w:tc>
          <w:tcPr>
            <w:tcW w:type="dxa" w:w="2520"/>
            <w:vAlign w:val="top"/>
          </w:tcPr>
          <w:p>
            <w:pPr>
              <w:spacing w:after="0" w:line="240" w:lineRule="auto"/>
            </w:pPr>
            <w:r>
              <w:rPr>
                <w:sz w:val="17"/>
              </w:rPr>
              <w:t>Regularization</w:t>
            </w:r>
          </w:p>
        </w:tc>
        <w:tc>
          <w:tcPr>
            <w:tcW w:type="dxa" w:w="2520"/>
            <w:vAlign w:val="top"/>
          </w:tcPr>
          <w:p>
            <w:pPr>
              <w:spacing w:after="0" w:line="240" w:lineRule="auto"/>
            </w:pPr>
            <w:r>
              <w:rPr>
                <w:sz w:val="17"/>
              </w:rPr>
              <w:t>Penalizes overly large weights.</w:t>
            </w:r>
          </w:p>
        </w:tc>
      </w:tr>
      <w:tr>
        <w:tc>
          <w:tcPr>
            <w:tcW w:type="dxa" w:w="2520"/>
            <w:vAlign w:val="top"/>
          </w:tcPr>
          <w:p>
            <w:pPr>
              <w:spacing w:after="0" w:line="240" w:lineRule="auto"/>
            </w:pPr>
            <w:r>
              <w:rPr>
                <w:sz w:val="17"/>
              </w:rPr>
              <w:t>Batch size</w:t>
            </w:r>
          </w:p>
        </w:tc>
        <w:tc>
          <w:tcPr>
            <w:tcW w:type="dxa" w:w="2520"/>
            <w:vAlign w:val="top"/>
          </w:tcPr>
          <w:p>
            <w:pPr>
              <w:spacing w:after="0" w:line="240" w:lineRule="auto"/>
            </w:pPr>
            <w:r>
              <w:rPr>
                <w:sz w:val="17"/>
              </w:rPr>
              <w:t>64 train / 256 validation</w:t>
            </w:r>
          </w:p>
        </w:tc>
        <w:tc>
          <w:tcPr>
            <w:tcW w:type="dxa" w:w="2520"/>
            <w:vAlign w:val="top"/>
          </w:tcPr>
          <w:p>
            <w:pPr>
              <w:spacing w:after="0" w:line="240" w:lineRule="auto"/>
            </w:pPr>
            <w:r>
              <w:rPr>
                <w:sz w:val="17"/>
              </w:rPr>
              <w:t>Fast baseline setup</w:t>
            </w:r>
          </w:p>
        </w:tc>
        <w:tc>
          <w:tcPr>
            <w:tcW w:type="dxa" w:w="2520"/>
            <w:vAlign w:val="top"/>
          </w:tcPr>
          <w:p>
            <w:pPr>
              <w:spacing w:after="0" w:line="240" w:lineRule="auto"/>
            </w:pPr>
            <w:r>
              <w:rPr>
                <w:sz w:val="17"/>
              </w:rPr>
              <w:t>Balances smooth updates with quick validation.</w:t>
            </w:r>
          </w:p>
        </w:tc>
      </w:tr>
      <w:tr>
        <w:tc>
          <w:tcPr>
            <w:tcW w:type="dxa" w:w="2520"/>
            <w:vAlign w:val="top"/>
          </w:tcPr>
          <w:p>
            <w:pPr>
              <w:spacing w:after="0" w:line="240" w:lineRule="auto"/>
            </w:pPr>
            <w:r>
              <w:rPr>
                <w:sz w:val="17"/>
              </w:rPr>
              <w:t>Epochs</w:t>
            </w:r>
          </w:p>
        </w:tc>
        <w:tc>
          <w:tcPr>
            <w:tcW w:type="dxa" w:w="2520"/>
            <w:vAlign w:val="top"/>
          </w:tcPr>
          <w:p>
            <w:pPr>
              <w:spacing w:after="0" w:line="240" w:lineRule="auto"/>
            </w:pPr>
            <w:r>
              <w:rPr>
                <w:sz w:val="17"/>
              </w:rPr>
              <w:t>15</w:t>
            </w:r>
          </w:p>
        </w:tc>
        <w:tc>
          <w:tcPr>
            <w:tcW w:type="dxa" w:w="2520"/>
            <w:vAlign w:val="top"/>
          </w:tcPr>
          <w:p>
            <w:pPr>
              <w:spacing w:after="0" w:line="240" w:lineRule="auto"/>
            </w:pPr>
            <w:r>
              <w:rPr>
                <w:sz w:val="17"/>
              </w:rPr>
              <w:t>Sanity-check training length</w:t>
            </w:r>
          </w:p>
        </w:tc>
        <w:tc>
          <w:tcPr>
            <w:tcW w:type="dxa" w:w="2520"/>
            <w:vAlign w:val="top"/>
          </w:tcPr>
          <w:p>
            <w:pPr>
              <w:spacing w:after="0" w:line="240" w:lineRule="auto"/>
            </w:pPr>
            <w:r>
              <w:rPr>
                <w:sz w:val="17"/>
              </w:rPr>
              <w:t>Shows whether train/validation loss trends are stable.</w:t>
            </w:r>
          </w:p>
        </w:tc>
      </w:tr>
    </w:tbl>
    <w:p>
      <w:pPr>
        <w:spacing w:after="40" w:before="0" w:line="240" w:lineRule="auto"/>
      </w:pPr>
    </w:p>
    <w:p>
      <w:pPr>
        <w:pStyle w:val="Heading1"/>
        <w:spacing w:after="40" w:before="0" w:line="240" w:lineRule="auto"/>
      </w:pPr>
      <w:r>
        <w:t>6. Performance Formula and Screenshot Requirement</w:t>
      </w:r>
    </w:p>
    <w:p>
      <w:pPr>
        <w:spacing w:after="40" w:before="0" w:line="240" w:lineRule="auto"/>
      </w:pPr>
      <w:r>
        <w:t>The project instructions define the following score references:</w:t>
      </w:r>
    </w:p>
    <w:p>
      <w:pPr>
        <w:pStyle w:val="ListBullet"/>
        <w:spacing w:after="40" w:before="0" w:line="240" w:lineRule="auto"/>
      </w:pPr>
      <w:r>
        <w:t>Random baseline: sₙ = 0.50</w:t>
      </w:r>
    </w:p>
    <w:p>
      <w:pPr>
        <w:pStyle w:val="ListBullet"/>
        <w:spacing w:after="40" w:before="0" w:line="240" w:lineRule="auto"/>
      </w:pPr>
      <w:r>
        <w:t>Simple baseline: sₛ = 0.78</w:t>
      </w:r>
    </w:p>
    <w:p>
      <w:pPr>
        <w:pStyle w:val="ListBullet"/>
        <w:spacing w:after="40" w:before="0" w:line="240" w:lineRule="auto"/>
      </w:pPr>
      <w:r>
        <w:t>Baseline 2 / max reference: sₘₐₓ = 0.813</w:t>
      </w:r>
    </w:p>
    <w:p>
      <w:pPr>
        <w:spacing w:after="40" w:before="0" w:line="240" w:lineRule="auto"/>
      </w:pPr>
      <w:r>
        <w:t>After the official leaderboard score s is available, compute the linearly graded performance score with:</w:t>
      </w:r>
    </w:p>
    <w:p>
      <w:pPr>
        <w:spacing w:after="40" w:before="0" w:line="240" w:lineRule="auto"/>
        <w:jc w:val="center"/>
      </w:pPr>
      <w:r>
        <w:rPr>
          <w:b/>
        </w:rPr>
        <w:t>Performance points = 30 × clamp((s − sₙ) / (sₘₐₓ − sₙ), 0, 1)</w:t>
      </w:r>
    </w:p>
    <w:p>
      <w:pPr>
        <w:spacing w:after="40" w:before="0" w:line="240" w:lineRule="auto"/>
      </w:pPr>
      <w:r>
        <w:t>The updated notebook includes a score-calculation cell where the official team score can be entered. The final submission should attach a screenshot of the official performance/leaderboard result and highlight both the score s and the computed performance points.</w:t>
      </w:r>
    </w:p>
    <w:p>
      <w:pPr>
        <w:pStyle w:val="Heading1"/>
        <w:spacing w:after="40" w:before="0" w:line="240" w:lineRule="auto"/>
      </w:pPr>
      <w:r>
        <w:t>7. Results, Impact, and Lessons Learned</w:t>
      </w:r>
    </w:p>
    <w:p>
      <w:pPr>
        <w:spacing w:after="40" w:before="0" w:line="240" w:lineRule="auto"/>
      </w:pPr>
      <w:r>
        <w:t>The current baseline is best understood as an infrastructure-validation model rather than the final competitive model. Its main value is proving that the end-to-end pipeline works: data loading, binary label conversion, feature mapping, embedding lookup, training, validation, and artifact saving.</w:t>
      </w:r>
    </w:p>
    <w:p>
      <w:pPr>
        <w:spacing w:after="40" w:before="0" w:line="240" w:lineRule="auto"/>
      </w:pPr>
      <w:r>
        <w:t>The biggest performance lesson is that ROC-AUC depends on the validation split containing both positive and negative labels. If the validation set has only one class, local AUC is mathematically undefined and appears as NaN even if losses decrease correctly. The next experiment should use a stratified split or a larger sample before treating local AUC as the main performance signal.</w:t>
      </w:r>
    </w:p>
    <w:p>
      <w:pPr>
        <w:spacing w:after="40" w:before="0" w:line="240" w:lineRule="auto"/>
      </w:pPr>
      <w:r>
        <w:t>The second lesson is that binary loss setup matters. A model trained with BCEWithLogitsLoss should output raw logits. Applying sigmoid in the wrong place or using labels outside 0/1 can make the training loss misleading or unstable.</w:t>
      </w:r>
    </w:p>
    <w:p>
      <w:pPr>
        <w:spacing w:after="40" w:before="0" w:line="240" w:lineRule="auto"/>
      </w:pPr>
      <w:r>
        <w:t>The third lesson is that the current feature subset is intentionally small. Stronger leaderboard performance will likely require list-valued sparse features, dense aligned features, sequence features, and a feature-interaction model such as DeepFM or the proposed UFI-Former.</w:t>
      </w:r>
    </w:p>
    <w:p>
      <w:pPr>
        <w:pStyle w:val="Heading1"/>
        <w:spacing w:after="40" w:before="0" w:line="240" w:lineRule="auto"/>
      </w:pPr>
      <w:r>
        <w:t>8. Next Steps</w:t>
      </w:r>
    </w:p>
    <w:p>
      <w:pPr>
        <w:pStyle w:val="ListBullet"/>
        <w:spacing w:after="40" w:before="0" w:line="240" w:lineRule="auto"/>
      </w:pPr>
      <w:r>
        <w:t>Enter the official leaderboard score in the notebook performance-formula cell.</w:t>
      </w:r>
    </w:p>
    <w:p>
      <w:pPr>
        <w:pStyle w:val="ListBullet"/>
        <w:spacing w:after="40" w:before="0" w:line="240" w:lineRule="auto"/>
      </w:pPr>
      <w:r>
        <w:t>Attach the leaderboard/performance screenshot and highlight the computed score.</w:t>
      </w:r>
    </w:p>
    <w:p>
      <w:pPr>
        <w:pStyle w:val="ListBullet"/>
        <w:spacing w:after="40" w:before="0" w:line="240" w:lineRule="auto"/>
      </w:pPr>
      <w:r>
        <w:t>Use a stratified validation split or larger sample for reliable ROC-AUC.</w:t>
      </w:r>
    </w:p>
    <w:p>
      <w:pPr>
        <w:pStyle w:val="ListBullet"/>
        <w:spacing w:after="40" w:before="0" w:line="240" w:lineRule="auto"/>
      </w:pPr>
      <w:r>
        <w:t>Add list sparse, dense, and sequence features.</w:t>
      </w:r>
    </w:p>
    <w:p>
      <w:pPr>
        <w:pStyle w:val="ListBullet"/>
        <w:spacing w:after="40" w:before="0" w:line="240" w:lineRule="auto"/>
      </w:pPr>
      <w:r>
        <w:t>Run ablations over embedding dimension, dropout, hidden size, and feature groups.</w:t>
      </w:r>
    </w:p>
    <w:p>
      <w:pPr>
        <w:pStyle w:val="ListBullet"/>
        <w:spacing w:after="40" w:before="0" w:line="240" w:lineRule="auto"/>
      </w:pPr>
      <w:r>
        <w:t>Compare the MLP baseline against a stronger feature-interaction model such as DeepFM or UFI-Former.</w:t>
      </w:r>
    </w:p>
    <w:p>
      <w:pPr>
        <w:pStyle w:val="Heading1"/>
        <w:spacing w:after="40" w:before="0" w:line="240" w:lineRule="auto"/>
      </w:pPr>
      <w:r>
        <w:t>9. Conclusion</w:t>
      </w:r>
    </w:p>
    <w:p>
      <w:pPr>
        <w:spacing w:after="40" w:before="0" w:line="240" w:lineRule="auto"/>
      </w:pPr>
      <w:r>
        <w:t>We built a stable baseline notebook for the TAAC/UniRec recommendation task and used it to validate the training pipeline. The model uses sparse user/item categorical features, embedding layers, an MLP prediction head, and BCEWithLogitsLoss for binary conversion prediction. Although the current notebook is not yet the final competitive architecture, it provides a clean foundation for stronger experiments and documents important lessons about label handling, validation design, loss stability, regularization, and experiment tracking.</w:t>
      </w:r>
    </w:p>
    <w:sectPr w:rsidR="00FC693F" w:rsidRPr="0006063C" w:rsidSect="00034616">
      <w:pgSz w:w="12240" w:h="15840"/>
      <w:pgMar w:top="864"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