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Gói bảo hành "mua 1 được 10"</w:t>
      </w:r>
    </w:p>
    <w:p>
      <w:pPr>
        <w:pStyle w:val="1"/>
        <w:spacing w:before="380" w:after="140" w:line="288" w:lineRule="auto"/>
        <w:ind w:left="0"/>
        <w:jc w:val="left"/>
        <w:outlineLvl w:val="0"/>
      </w:pPr>
      <w:bookmarkStart w:name="heading_0" w:id="0"/>
      <w:r>
        <w:rPr>
          <w:rFonts w:eastAsia="等线" w:ascii="Arial" w:cs="Arial" w:hAnsi="Arial"/>
          <w:b w:val="true"/>
          <w:sz w:val="36"/>
        </w:rPr>
        <w:t>I. Quyền Lợi</w:t>
      </w:r>
      <w:bookmarkEnd w:id="0"/>
    </w:p>
    <w:p>
      <w:pPr>
        <w:pStyle w:val="3"/>
        <w:spacing w:before="300" w:after="120" w:line="288" w:lineRule="auto"/>
        <w:ind w:left="0"/>
        <w:jc w:val="left"/>
        <w:outlineLvl w:val="2"/>
      </w:pPr>
      <w:bookmarkStart w:name="heading_1" w:id="1"/>
      <w:r>
        <w:rPr>
          <w:rFonts w:eastAsia="等线" w:ascii="Arial" w:cs="Arial" w:hAnsi="Arial"/>
          <w:color w:val="3370ff"/>
          <w:sz w:val="30"/>
        </w:rPr>
        <w:t xml:space="preserve">1. </w:t>
      </w:r>
      <w:r>
        <w:rPr>
          <w:rFonts w:eastAsia="等线" w:ascii="Arial" w:cs="Arial" w:hAnsi="Arial"/>
          <w:b w:val="true"/>
          <w:sz w:val="30"/>
        </w:rPr>
        <w:t>Nhận được hạn mức sửa chữa thay thế linh kiện gấp 10 lần số tiền mua ngay cả khi máy rơi vỡ trong thời hạn 12 tháng.</w:t>
      </w:r>
      <w:bookmarkEnd w:id="1"/>
    </w:p>
    <w:p>
      <w:pPr>
        <w:pStyle w:val="3"/>
        <w:spacing w:before="300" w:after="120" w:line="288" w:lineRule="auto"/>
        <w:ind w:left="0"/>
        <w:jc w:val="left"/>
        <w:outlineLvl w:val="2"/>
      </w:pPr>
      <w:bookmarkStart w:name="heading_2" w:id="2"/>
      <w:r>
        <w:rPr>
          <w:rFonts w:eastAsia="等线" w:ascii="Arial" w:cs="Arial" w:hAnsi="Arial"/>
          <w:color w:val="3370ff"/>
          <w:sz w:val="30"/>
        </w:rPr>
        <w:t xml:space="preserve">2. </w:t>
      </w:r>
      <w:r>
        <w:rPr>
          <w:rFonts w:eastAsia="等线" w:ascii="Arial" w:cs="Arial" w:hAnsi="Arial"/>
          <w:b w:val="true"/>
          <w:sz w:val="30"/>
        </w:rPr>
        <w:t>Trường hợp không thể sửa chữa hoặc không có linh kiện thay thế hoàn 100% giá trị gói bảo hành đã mua.</w:t>
      </w:r>
      <w:bookmarkEnd w:id="2"/>
    </w:p>
    <w:p>
      <w:pPr>
        <w:pStyle w:val="1"/>
        <w:spacing w:before="380" w:after="140" w:line="288" w:lineRule="auto"/>
        <w:ind w:left="0"/>
        <w:jc w:val="left"/>
        <w:outlineLvl w:val="0"/>
      </w:pPr>
      <w:bookmarkStart w:name="heading_3" w:id="3"/>
      <w:r>
        <w:rPr>
          <w:rFonts w:eastAsia="等线" w:ascii="Arial" w:cs="Arial" w:hAnsi="Arial"/>
          <w:b w:val="true"/>
          <w:sz w:val="36"/>
        </w:rPr>
        <w:t>II. Điều kiện bảo hành và chính sách hoàn tiền</w:t>
      </w:r>
      <w:bookmarkEnd w:id="3"/>
    </w:p>
    <w:p>
      <w:pPr>
        <w:numPr>
          <w:numId w:val="1"/>
        </w:numPr>
        <w:spacing w:before="120" w:after="120" w:line="288" w:lineRule="auto"/>
        <w:ind w:left="0"/>
        <w:jc w:val="left"/>
      </w:pPr>
      <w:r>
        <w:rPr>
          <w:rFonts w:eastAsia="等线" w:ascii="Arial" w:cs="Arial" w:hAnsi="Arial"/>
          <w:sz w:val="22"/>
        </w:rPr>
        <w:t xml:space="preserve">Gói 1 được 10 được bảo hành tất cả lỗi phần cứng nhà sản xuất hoặc các trường hợp tai nạn rơi vỡ. </w:t>
      </w:r>
    </w:p>
    <w:p>
      <w:pPr>
        <w:pStyle w:val="3"/>
        <w:spacing w:before="300" w:after="120" w:line="288" w:lineRule="auto"/>
        <w:ind w:left="0"/>
        <w:jc w:val="left"/>
        <w:outlineLvl w:val="2"/>
      </w:pPr>
      <w:bookmarkStart w:name="heading_4" w:id="4"/>
      <w:r>
        <w:rPr>
          <w:rFonts w:eastAsia="等线" w:ascii="Arial" w:cs="Arial" w:hAnsi="Arial"/>
          <w:color w:val="3370ff"/>
          <w:sz w:val="30"/>
        </w:rPr>
        <w:t xml:space="preserve">1. </w:t>
      </w:r>
      <w:r>
        <w:rPr>
          <w:rFonts w:eastAsia="等线" w:ascii="Arial" w:cs="Arial" w:hAnsi="Arial"/>
          <w:b w:val="true"/>
          <w:sz w:val="30"/>
        </w:rPr>
        <w:t xml:space="preserve"> </w:t>
      </w:r>
      <w:r>
        <w:rPr>
          <w:rFonts w:eastAsia="等线" w:ascii="Arial" w:cs="Arial" w:hAnsi="Arial"/>
          <w:b w:val="true"/>
          <w:sz w:val="30"/>
        </w:rPr>
        <w:t>Di Động Việt từ chối bảo hành các lỗi không thể khắc phục được:</w:t>
      </w:r>
      <w:bookmarkEnd w:id="4"/>
    </w:p>
    <w:p>
      <w:pPr>
        <w:numPr>
          <w:numId w:val="2"/>
        </w:numPr>
        <w:spacing w:before="120" w:after="120" w:line="288" w:lineRule="auto"/>
        <w:ind w:left="0"/>
        <w:jc w:val="left"/>
      </w:pPr>
      <w:r>
        <w:rPr>
          <w:rFonts w:eastAsia="等线" w:ascii="Arial" w:cs="Arial" w:hAnsi="Arial"/>
          <w:sz w:val="22"/>
        </w:rPr>
        <w:t>Mất dữ liệu, dính tài khoản iCloud, MiCloud, SamsungCloud, cháy nổ, vào nước ,rớt nước,ẩm mốc ,vào hóa chất.</w:t>
      </w:r>
    </w:p>
    <w:p>
      <w:pPr>
        <w:numPr>
          <w:numId w:val="3"/>
        </w:numPr>
        <w:spacing w:before="120" w:after="120" w:line="288" w:lineRule="auto"/>
        <w:ind w:left="0"/>
        <w:jc w:val="left"/>
      </w:pPr>
      <w:r>
        <w:rPr>
          <w:rFonts w:eastAsia="等线" w:ascii="Arial" w:cs="Arial" w:hAnsi="Arial"/>
          <w:sz w:val="22"/>
        </w:rPr>
        <w:t>Các vấn đề về thẩm mỹ bên ngoài như cấn, móp, tróc sơn, trầy xước, sẽ không thuộc phạm vi bảo hành.</w:t>
      </w:r>
    </w:p>
    <w:p>
      <w:pPr>
        <w:numPr>
          <w:numId w:val="4"/>
        </w:numPr>
        <w:spacing w:before="120" w:after="120" w:line="288" w:lineRule="auto"/>
        <w:ind w:left="0"/>
        <w:jc w:val="left"/>
      </w:pPr>
      <w:r>
        <w:rPr>
          <w:rFonts w:eastAsia="等线" w:ascii="Arial" w:cs="Arial" w:hAnsi="Arial"/>
          <w:sz w:val="22"/>
        </w:rPr>
        <w:t>Máy bị can thiệp phần cứng mà không có chỉ định từ NSX hoặc Di Động Việt/ Viện Di Động.</w:t>
      </w:r>
    </w:p>
    <w:p>
      <w:pPr>
        <w:numPr>
          <w:numId w:val="5"/>
        </w:numPr>
        <w:spacing w:before="120" w:after="120" w:line="288" w:lineRule="auto"/>
        <w:ind w:left="0"/>
        <w:jc w:val="left"/>
      </w:pPr>
      <w:r>
        <w:rPr>
          <w:rFonts w:eastAsia="等线" w:ascii="Arial" w:cs="Arial" w:hAnsi="Arial"/>
          <w:sz w:val="22"/>
        </w:rPr>
        <w:t>Sản phẩm bị lỗi ứng dụng, lỗi phần mềm hoặc những lỗi mà theo cảm nhận chủ quan của khách hàng như: hao pin, nóng máy, loa rè, sóng yếu =&gt; Mà kiểm tra thực tế không có lỗi hoặc không có giấy thẩm định lỗi phần cứng nhà sản xuất.</w:t>
      </w:r>
    </w:p>
    <w:p>
      <w:pPr>
        <w:numPr>
          <w:numId w:val="6"/>
        </w:numPr>
        <w:spacing w:before="120" w:after="120" w:line="288" w:lineRule="auto"/>
        <w:ind w:left="0"/>
        <w:jc w:val="left"/>
      </w:pPr>
      <w:r>
        <w:rPr>
          <w:rFonts w:eastAsia="等线" w:ascii="Arial" w:cs="Arial" w:hAnsi="Arial"/>
          <w:sz w:val="22"/>
        </w:rPr>
        <w:t>LỖi camera do LASER hoặc nguồn sáng cao độ tiếp xúc trực tiếp vào CAMERA gây ra lỗi cảm biến (chảy mực camera, cháy điểm ảnh...). Lỗi này trung tâm bảo hành apple sẻ đưa ra biên bản từ chối bảo hành do lỗi người sử dụng.</w:t>
      </w:r>
    </w:p>
    <w:p>
      <w:pPr>
        <w:numPr>
          <w:numId w:val="7"/>
        </w:numPr>
        <w:spacing w:before="120" w:after="120" w:line="288" w:lineRule="auto"/>
        <w:ind w:left="0"/>
        <w:jc w:val="left"/>
      </w:pPr>
      <w:r>
        <w:rPr>
          <w:rFonts w:eastAsia="等线" w:ascii="Arial" w:cs="Arial" w:hAnsi="Arial"/>
          <w:sz w:val="22"/>
        </w:rPr>
        <w:t>Tình trạng sóng, mạng kém không ổn định do chất lượng mạng điện thoại theo khu vực .</w:t>
      </w:r>
    </w:p>
    <w:p>
      <w:pPr>
        <w:numPr>
          <w:numId w:val="8"/>
        </w:numPr>
        <w:spacing w:before="120" w:after="120" w:line="288" w:lineRule="auto"/>
        <w:ind w:left="0"/>
        <w:jc w:val="left"/>
      </w:pPr>
      <w:r>
        <w:rPr>
          <w:rFonts w:eastAsia="等线" w:ascii="Arial" w:cs="Arial" w:hAnsi="Arial"/>
          <w:sz w:val="22"/>
        </w:rPr>
        <w:t>Nhiệt độ không cắm sạc tối đa 50 độ C và cắm sạc tối đa 60 độ C.</w:t>
      </w:r>
    </w:p>
    <w:p>
      <w:pPr>
        <w:numPr>
          <w:numId w:val="9"/>
        </w:numPr>
        <w:spacing w:before="120" w:after="120" w:line="288" w:lineRule="auto"/>
        <w:ind w:left="0"/>
        <w:jc w:val="left"/>
      </w:pPr>
      <w:r>
        <w:rPr>
          <w:rFonts w:eastAsia="等线" w:ascii="Arial" w:cs="Arial" w:hAnsi="Arial"/>
          <w:sz w:val="22"/>
        </w:rPr>
        <w:t xml:space="preserve">Tình trạng app bên thứ 3 (facebok, zalo, messenger...) hoạt động không ổn định là do phần mềm chưa tương thích không phải lỗi phần cứng nsx. </w:t>
      </w:r>
    </w:p>
    <w:p>
      <w:pPr>
        <w:pStyle w:val="3"/>
        <w:spacing w:before="300" w:after="120" w:line="288" w:lineRule="auto"/>
        <w:ind w:left="0"/>
        <w:jc w:val="left"/>
        <w:outlineLvl w:val="2"/>
      </w:pPr>
      <w:bookmarkStart w:name="heading_5" w:id="5"/>
      <w:r>
        <w:rPr>
          <w:rFonts w:eastAsia="等线" w:ascii="Arial" w:cs="Arial" w:hAnsi="Arial"/>
          <w:color w:val="3370ff"/>
          <w:sz w:val="30"/>
        </w:rPr>
        <w:t xml:space="preserve">2. </w:t>
      </w:r>
      <w:r>
        <w:rPr>
          <w:rFonts w:eastAsia="等线" w:ascii="Arial" w:cs="Arial" w:hAnsi="Arial"/>
          <w:b w:val="true"/>
          <w:sz w:val="30"/>
        </w:rPr>
        <w:t>Chính sách hoàn tiền GBHMR khi không sửa chữa được hoặc hết linh kiện thay thế</w:t>
      </w:r>
      <w:bookmarkEnd w:id="5"/>
    </w:p>
    <w:p>
      <w:pPr>
        <w:pStyle w:val="4"/>
        <w:spacing w:before="260" w:after="120" w:line="288" w:lineRule="auto"/>
        <w:ind w:left="0"/>
        <w:jc w:val="left"/>
        <w:outlineLvl w:val="3"/>
      </w:pPr>
      <w:bookmarkStart w:name="heading_6" w:id="6"/>
      <w:r>
        <w:rPr>
          <w:rFonts w:eastAsia="等线" w:ascii="Arial" w:cs="Arial" w:hAnsi="Arial"/>
          <w:color w:val="3370ff"/>
          <w:sz w:val="28"/>
        </w:rPr>
        <w:t xml:space="preserve">2.1 </w:t>
      </w:r>
      <w:r>
        <w:rPr>
          <w:rFonts w:eastAsia="等线" w:ascii="Arial" w:cs="Arial" w:hAnsi="Arial"/>
          <w:b w:val="true"/>
          <w:sz w:val="28"/>
        </w:rPr>
        <w:t xml:space="preserve">Trường hợp Chưa sử dụng hạn mức GBHMR </w:t>
      </w:r>
      <w:bookmarkEnd w:id="6"/>
    </w:p>
    <w:p>
      <w:pPr>
        <w:numPr>
          <w:numId w:val="10"/>
        </w:numPr>
        <w:spacing w:before="120" w:after="120" w:line="288" w:lineRule="auto"/>
        <w:ind w:left="0"/>
        <w:jc w:val="left"/>
      </w:pPr>
      <w:r>
        <w:rPr>
          <w:rFonts w:eastAsia="等线" w:ascii="Arial" w:cs="Arial" w:hAnsi="Arial"/>
          <w:sz w:val="22"/>
        </w:rPr>
        <w:t xml:space="preserve">Hoàn 100% giá trị gói bảo hành (300k, 500, 1000k) </w:t>
      </w:r>
    </w:p>
    <w:p>
      <w:pPr>
        <w:pStyle w:val="4"/>
        <w:spacing w:before="260" w:after="120" w:line="288" w:lineRule="auto"/>
        <w:ind w:left="0"/>
        <w:jc w:val="left"/>
        <w:outlineLvl w:val="3"/>
      </w:pPr>
      <w:bookmarkStart w:name="heading_7" w:id="7"/>
      <w:r>
        <w:rPr>
          <w:rFonts w:eastAsia="等线" w:ascii="Arial" w:cs="Arial" w:hAnsi="Arial"/>
          <w:color w:val="3370ff"/>
          <w:sz w:val="28"/>
        </w:rPr>
        <w:t xml:space="preserve">2.2 </w:t>
      </w:r>
      <w:r>
        <w:rPr>
          <w:rFonts w:eastAsia="等线" w:ascii="Arial" w:cs="Arial" w:hAnsi="Arial"/>
          <w:b w:val="true"/>
          <w:sz w:val="28"/>
        </w:rPr>
        <w:t xml:space="preserve">Trường hợp đã sử dụng hạn mức GBHMR </w:t>
      </w:r>
      <w:bookmarkEnd w:id="7"/>
    </w:p>
    <w:p>
      <w:pPr>
        <w:numPr>
          <w:numId w:val="11"/>
        </w:numPr>
        <w:spacing w:before="120" w:after="120" w:line="288" w:lineRule="auto"/>
        <w:ind w:left="0"/>
        <w:jc w:val="left"/>
      </w:pPr>
      <w:r>
        <w:rPr>
          <w:rFonts w:eastAsia="等线" w:ascii="Arial" w:cs="Arial" w:hAnsi="Arial"/>
          <w:sz w:val="22"/>
        </w:rPr>
        <w:t xml:space="preserve">Hoàn 50% giá trị gói bảo hành (300k, 500, 1000k) </w:t>
      </w:r>
    </w:p>
    <w:p>
      <w:pPr>
        <w:pStyle w:val="4"/>
        <w:spacing w:before="260" w:after="120" w:line="288" w:lineRule="auto"/>
        <w:ind w:left="0"/>
        <w:jc w:val="left"/>
        <w:outlineLvl w:val="3"/>
      </w:pPr>
      <w:bookmarkStart w:name="heading_8" w:id="8"/>
      <w:r>
        <w:rPr>
          <w:rFonts w:eastAsia="等线" w:ascii="Arial" w:cs="Arial" w:hAnsi="Arial"/>
          <w:color w:val="3370ff"/>
          <w:sz w:val="28"/>
        </w:rPr>
        <w:t xml:space="preserve">2.3 </w:t>
      </w:r>
      <w:r>
        <w:rPr>
          <w:rFonts w:eastAsia="等线" w:ascii="Arial" w:cs="Arial" w:hAnsi="Arial"/>
          <w:b w:val="true"/>
          <w:sz w:val="28"/>
        </w:rPr>
        <w:t>Trường hợp máy rơt nước</w:t>
      </w:r>
      <w:bookmarkEnd w:id="8"/>
    </w:p>
    <w:p>
      <w:pPr>
        <w:numPr>
          <w:numId w:val="12"/>
        </w:numPr>
        <w:spacing w:before="120" w:after="120" w:line="288" w:lineRule="auto"/>
        <w:ind w:left="0"/>
        <w:jc w:val="left"/>
      </w:pPr>
      <w:r>
        <w:rPr>
          <w:rFonts w:eastAsia="等线" w:ascii="Arial" w:cs="Arial" w:hAnsi="Arial"/>
          <w:sz w:val="22"/>
        </w:rPr>
        <w:t>Gói bảo hành mất hiệu lực</w:t>
      </w:r>
    </w:p>
    <w:p>
      <w:pPr>
        <w:pStyle w:val="4"/>
        <w:spacing w:before="260" w:after="120" w:line="288" w:lineRule="auto"/>
        <w:ind w:left="0"/>
        <w:jc w:val="left"/>
        <w:outlineLvl w:val="3"/>
      </w:pPr>
      <w:bookmarkStart w:name="heading_9" w:id="9"/>
      <w:r>
        <w:rPr>
          <w:rFonts w:eastAsia="等线" w:ascii="Arial" w:cs="Arial" w:hAnsi="Arial"/>
          <w:color w:val="3370ff"/>
          <w:sz w:val="28"/>
        </w:rPr>
        <w:t xml:space="preserve">2.4 </w:t>
      </w:r>
      <w:r>
        <w:rPr>
          <w:rFonts w:eastAsia="等线" w:ascii="Arial" w:cs="Arial" w:hAnsi="Arial"/>
          <w:b w:val="true"/>
          <w:sz w:val="28"/>
        </w:rPr>
        <w:t>Trường hợp vượt hạn mức sửa chữa</w:t>
      </w:r>
      <w:bookmarkEnd w:id="9"/>
    </w:p>
    <w:p>
      <w:pPr>
        <w:numPr>
          <w:numId w:val="13"/>
        </w:numPr>
        <w:spacing w:before="120" w:after="120" w:line="288" w:lineRule="auto"/>
        <w:ind w:left="0"/>
        <w:jc w:val="left"/>
      </w:pPr>
      <w:r>
        <w:rPr>
          <w:rFonts w:eastAsia="等线" w:ascii="Arial" w:cs="Arial" w:hAnsi="Arial"/>
          <w:sz w:val="22"/>
        </w:rPr>
        <w:t>Khách bù thêm phần chênh lệch để sử dụng hết hạn mức sửa chữa</w:t>
      </w:r>
    </w:p>
    <w:p>
      <w:pPr>
        <w:numPr>
          <w:numId w:val="14"/>
        </w:numPr>
        <w:spacing w:before="120" w:after="120" w:line="288" w:lineRule="auto"/>
        <w:ind w:left="0"/>
        <w:jc w:val="left"/>
      </w:pPr>
      <w:r>
        <w:rPr>
          <w:rFonts w:eastAsia="等线" w:ascii="Arial" w:cs="Arial" w:hAnsi="Arial"/>
          <w:sz w:val="22"/>
        </w:rPr>
        <w:t>Hoặc Hoàn 50% giá trị gói bảo hành (300k, 500, 1000k)</w:t>
      </w:r>
    </w:p>
    <w:p>
      <w:pPr>
        <w:numPr>
          <w:numId w:val="15"/>
        </w:numPr>
        <w:spacing w:before="120" w:after="120" w:line="288" w:lineRule="auto"/>
        <w:ind w:left="0"/>
        <w:jc w:val="left"/>
      </w:pPr>
      <w:r>
        <w:rPr>
          <w:rFonts w:eastAsia="等线" w:ascii="Arial" w:cs="Arial" w:hAnsi="Arial"/>
          <w:sz w:val="22"/>
        </w:rPr>
        <w:t>Hoặc giữ lại hạn mức sửa chữa trong 12 tháng kể từ ngày mua gbhmr</w:t>
      </w:r>
    </w:p>
    <w:p>
      <w:pPr>
        <w:spacing w:before="120" w:after="120" w:line="288" w:lineRule="auto"/>
        <w:ind w:left="0"/>
        <w:jc w:val="left"/>
      </w:pPr>
      <w:r>
        <w:rPr>
          <w:rFonts w:eastAsia="等线" w:ascii="Arial" w:cs="Arial" w:hAnsi="Arial"/>
          <w:sz w:val="22"/>
        </w:rPr>
        <w:br/>
      </w:r>
      <w:r>
        <w:rPr>
          <w:rFonts w:eastAsia="等线" w:ascii="Arial" w:cs="Arial" w:hAnsi="Arial"/>
          <w:b w:val="true"/>
          <w:sz w:val="22"/>
        </w:rPr>
        <w:t>Các trường hợp trên được áp dụng thu cũ đổi mới theo tình trạng phân loại máy + voucher 300k</w:t>
      </w:r>
      <w:r>
        <w:rPr>
          <w:rFonts w:eastAsia="等线" w:ascii="Arial" w:cs="Arial" w:hAnsi="Arial"/>
          <w:sz w:val="22"/>
        </w:rPr>
        <w:br/>
      </w:r>
    </w:p>
    <w:p>
      <w:pPr>
        <w:spacing w:before="120" w:after="120" w:line="288" w:lineRule="auto"/>
        <w:ind w:left="0"/>
        <w:jc w:val="left"/>
      </w:pP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79990">
    <w:lvl>
      <w:numFmt w:val="bullet"/>
      <w:suff w:val="tab"/>
      <w:lvlText w:val="•"/>
      <w:rPr>
        <w:color w:val="3370ff"/>
      </w:rPr>
    </w:lvl>
  </w:abstractNum>
  <w:abstractNum w:abstractNumId="279991">
    <w:lvl>
      <w:numFmt w:val="bullet"/>
      <w:suff w:val="tab"/>
      <w:lvlText w:val="•"/>
      <w:rPr>
        <w:color w:val="3370ff"/>
      </w:rPr>
    </w:lvl>
  </w:abstractNum>
  <w:abstractNum w:abstractNumId="279992">
    <w:lvl>
      <w:numFmt w:val="bullet"/>
      <w:suff w:val="tab"/>
      <w:lvlText w:val="•"/>
      <w:rPr>
        <w:color w:val="3370ff"/>
      </w:rPr>
    </w:lvl>
  </w:abstractNum>
  <w:abstractNum w:abstractNumId="279993">
    <w:lvl>
      <w:numFmt w:val="bullet"/>
      <w:suff w:val="tab"/>
      <w:lvlText w:val="•"/>
      <w:rPr>
        <w:color w:val="3370ff"/>
      </w:rPr>
    </w:lvl>
  </w:abstractNum>
  <w:abstractNum w:abstractNumId="279994">
    <w:lvl>
      <w:numFmt w:val="bullet"/>
      <w:suff w:val="tab"/>
      <w:lvlText w:val="•"/>
      <w:rPr>
        <w:color w:val="3370ff"/>
      </w:rPr>
    </w:lvl>
  </w:abstractNum>
  <w:abstractNum w:abstractNumId="279995">
    <w:lvl>
      <w:numFmt w:val="bullet"/>
      <w:suff w:val="tab"/>
      <w:lvlText w:val="•"/>
      <w:rPr>
        <w:color w:val="3370ff"/>
      </w:rPr>
    </w:lvl>
  </w:abstractNum>
  <w:abstractNum w:abstractNumId="279996">
    <w:lvl>
      <w:numFmt w:val="bullet"/>
      <w:suff w:val="tab"/>
      <w:lvlText w:val="•"/>
      <w:rPr>
        <w:color w:val="3370ff"/>
      </w:rPr>
    </w:lvl>
  </w:abstractNum>
  <w:abstractNum w:abstractNumId="279997">
    <w:lvl>
      <w:numFmt w:val="bullet"/>
      <w:suff w:val="tab"/>
      <w:lvlText w:val="•"/>
      <w:rPr>
        <w:color w:val="3370ff"/>
      </w:rPr>
    </w:lvl>
  </w:abstractNum>
  <w:abstractNum w:abstractNumId="279998">
    <w:lvl>
      <w:numFmt w:val="bullet"/>
      <w:suff w:val="tab"/>
      <w:lvlText w:val="•"/>
      <w:rPr>
        <w:color w:val="3370ff"/>
      </w:rPr>
    </w:lvl>
  </w:abstractNum>
  <w:abstractNum w:abstractNumId="279999">
    <w:lvl>
      <w:numFmt w:val="bullet"/>
      <w:suff w:val="tab"/>
      <w:lvlText w:val="•"/>
      <w:rPr>
        <w:color w:val="3370ff"/>
      </w:rPr>
    </w:lvl>
  </w:abstractNum>
  <w:abstractNum w:abstractNumId="280000">
    <w:lvl>
      <w:numFmt w:val="bullet"/>
      <w:suff w:val="tab"/>
      <w:lvlText w:val="•"/>
      <w:rPr>
        <w:color w:val="3370ff"/>
      </w:rPr>
    </w:lvl>
  </w:abstractNum>
  <w:abstractNum w:abstractNumId="280001">
    <w:lvl>
      <w:numFmt w:val="bullet"/>
      <w:suff w:val="tab"/>
      <w:lvlText w:val="•"/>
      <w:rPr>
        <w:color w:val="3370ff"/>
      </w:rPr>
    </w:lvl>
  </w:abstractNum>
  <w:abstractNum w:abstractNumId="280002">
    <w:lvl>
      <w:numFmt w:val="bullet"/>
      <w:suff w:val="tab"/>
      <w:lvlText w:val="•"/>
      <w:rPr>
        <w:color w:val="3370ff"/>
      </w:rPr>
    </w:lvl>
  </w:abstractNum>
  <w:abstractNum w:abstractNumId="280003">
    <w:lvl>
      <w:numFmt w:val="bullet"/>
      <w:suff w:val="tab"/>
      <w:lvlText w:val="•"/>
      <w:rPr>
        <w:color w:val="3370ff"/>
      </w:rPr>
    </w:lvl>
  </w:abstractNum>
  <w:abstractNum w:abstractNumId="280004">
    <w:lvl>
      <w:numFmt w:val="bullet"/>
      <w:suff w:val="tab"/>
      <w:lvlText w:val="•"/>
      <w:rPr>
        <w:color w:val="3370ff"/>
      </w:rPr>
    </w:lvl>
  </w:abstractNum>
  <w:num w:numId="1">
    <w:abstractNumId w:val="279990"/>
  </w:num>
  <w:num w:numId="2">
    <w:abstractNumId w:val="279991"/>
  </w:num>
  <w:num w:numId="3">
    <w:abstractNumId w:val="279992"/>
  </w:num>
  <w:num w:numId="4">
    <w:abstractNumId w:val="279993"/>
  </w:num>
  <w:num w:numId="5">
    <w:abstractNumId w:val="279994"/>
  </w:num>
  <w:num w:numId="6">
    <w:abstractNumId w:val="279995"/>
  </w:num>
  <w:num w:numId="7">
    <w:abstractNumId w:val="279996"/>
  </w:num>
  <w:num w:numId="8">
    <w:abstractNumId w:val="279997"/>
  </w:num>
  <w:num w:numId="9">
    <w:abstractNumId w:val="279998"/>
  </w:num>
  <w:num w:numId="10">
    <w:abstractNumId w:val="279999"/>
  </w:num>
  <w:num w:numId="11">
    <w:abstractNumId w:val="280000"/>
  </w:num>
  <w:num w:numId="12">
    <w:abstractNumId w:val="280001"/>
  </w:num>
  <w:num w:numId="13">
    <w:abstractNumId w:val="280002"/>
  </w:num>
  <w:num w:numId="14">
    <w:abstractNumId w:val="280003"/>
  </w:num>
  <w:num w:numId="15">
    <w:abstractNumId w:val="280004"/>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2025-03-23T23:30:01Z</dcterms:created>
  <dc:creator>Apache POI</dc:creator>
</cp:coreProperties>
</file>