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12429" w:rsidRPr="00EB267E" w:rsidRDefault="00412429" w:rsidP="00EB267E">
      <w:pPr>
        <w:spacing w:line="340" w:lineRule="exact"/>
        <w:ind w:firstLine="0"/>
        <w:jc w:val="center"/>
        <w:rPr>
          <w:b/>
          <w:lang w:val="en-US"/>
        </w:rPr>
      </w:pPr>
      <w:r w:rsidRPr="00EB267E">
        <w:rPr>
          <w:b/>
          <w:lang w:val="en-US"/>
        </w:rPr>
        <w:t>Chuyển đổi kinh tế Nga trong bối cảnh xây dựng chủ quyền công nghệ</w:t>
      </w:r>
    </w:p>
    <w:p w:rsidR="00412429" w:rsidRPr="00EB267E" w:rsidRDefault="00412429" w:rsidP="00EB267E">
      <w:pPr>
        <w:spacing w:line="340" w:lineRule="exact"/>
        <w:ind w:firstLine="0"/>
        <w:jc w:val="both"/>
        <w:rPr>
          <w:i/>
          <w:sz w:val="24"/>
          <w:szCs w:val="24"/>
          <w:lang w:val="en-US"/>
        </w:rPr>
      </w:pPr>
      <w:r w:rsidRPr="00EB267E">
        <w:rPr>
          <w:i/>
          <w:sz w:val="24"/>
          <w:szCs w:val="24"/>
          <w:lang w:val="en-US"/>
        </w:rPr>
        <w:t>(Chủ biên E. B. Lenchuk, nguyên Viện trưởng Viện kinh tế)</w:t>
      </w:r>
    </w:p>
    <w:p w:rsidR="00412429" w:rsidRPr="00412429" w:rsidRDefault="00412429" w:rsidP="00EB267E">
      <w:pPr>
        <w:spacing w:line="340" w:lineRule="exact"/>
        <w:ind w:firstLine="0"/>
        <w:jc w:val="both"/>
        <w:rPr>
          <w:lang w:val="en-US"/>
        </w:rPr>
      </w:pPr>
    </w:p>
    <w:p w:rsidR="00412429" w:rsidRPr="00412429" w:rsidRDefault="00412429" w:rsidP="00EB267E">
      <w:pPr>
        <w:spacing w:line="340" w:lineRule="exact"/>
        <w:ind w:firstLine="0"/>
        <w:jc w:val="both"/>
        <w:rPr>
          <w:lang w:val="en-US"/>
        </w:rPr>
      </w:pPr>
      <w:r w:rsidRPr="00412429">
        <w:rPr>
          <w:lang w:val="en-US"/>
        </w:rPr>
        <w:t>Trong công trình này, các vấn đề về sự chuyển mình của nền kinh tế Nga trong bối cảnh các hạn chế bên ngoài đã được xem xét, đồng thời đưa ra phương pháp khái niệm chính cho việc hiện đại hóa cấu trúc và công nghệ của nền kinh tế Nga được hình thành trong bối cảnh đảm bảo chủ quyền công nghệ và chuyển sang mô hình phát triển bền vững. Công trình dành sự chú ý đặc biệt cho việc mô tả chi tiết chính xác một mô hình như vậy, những đặc điểm của nó, chính sách chủ quyền công nghệ, các vấn đề liên quan đến việc hình thành các tổ chức và công cụ phù hợp cho việc hiện đại hóa cấu trúc và phát triển công nghệ. Các tác giả cũng đặc biệt chú ý phân tích các thực tiễn cụ thể nhằm đảm bảo chủ quyền công nghệ trong các ngành công nghiệp cơ bản của nền kinh tế Nga, chẳng hạn như ngành chế tạo máy, ngành sản xuất máy công cụ, chế tạo điện tử, lĩnh vực thông tin – truyền thông, ngành dược phẩm, tổ hợp năng lượng và công nghiệp, tổ hợp nông nghiệp – công nghiệp. Trong công trình này đã chỉ ra cách vượt qua các vấn đề liên quan đến sự phụ thuộc vào nhập khẩu được giải quyết trong các ngành này trong giai đoạn 2022–2024, những biện pháp mà chính phủ đã thực hiện và các tài liệu chương trình nào đã được thông qua.</w:t>
      </w:r>
    </w:p>
    <w:p w:rsidR="00412429" w:rsidRPr="00412429" w:rsidRDefault="00412429" w:rsidP="00EB267E">
      <w:pPr>
        <w:spacing w:line="340" w:lineRule="exact"/>
        <w:ind w:firstLine="0"/>
        <w:jc w:val="both"/>
        <w:rPr>
          <w:lang w:val="en-US"/>
        </w:rPr>
      </w:pPr>
    </w:p>
    <w:p w:rsidR="00412429" w:rsidRDefault="00412429" w:rsidP="00EB267E">
      <w:pPr>
        <w:spacing w:line="340" w:lineRule="exact"/>
        <w:ind w:firstLine="0"/>
        <w:jc w:val="both"/>
        <w:rPr>
          <w:lang w:val="en-US"/>
        </w:rPr>
      </w:pPr>
      <w:r w:rsidRPr="00412429">
        <w:rPr>
          <w:lang w:val="en-US"/>
        </w:rPr>
        <w:t>Các tác giả đã xem xét một cách toàn diện vấn đề chuyển đổi nền kinh tế Nga trong bối cảnh đảm bảo chủ quyền công nghệ, điều cần thiết do tình hình địa chính trị đang gia tăng căng thẳng và các hạn chế do cấm vận, cho thấy rằng trọng tâm chính của chính sách kinh tế Nga đang chuyển sang việc hiện đại hóa cấu trúc và định hướng công nghệ. Chính từ mức độ hiệu quả và tốc độ giải quyết những vấn đề này sẽ quyết định việc chuyển đổi sang mô hình tăng trưởng kinh tế cạnh tranh mới, dựa trên việc thúc đẩy yếu tố khoa học - công nghệ phát triển, xây dựng chuỗi sản xuất hoàn chỉnh theo vòng đời đổi mới dựa trên những đổi mới nội địa, gia tăng tỷ lệ các ngành công nghệ cao trong nền kinh tế, có khả năng đáp ứng nhu cầu nội địa và cạnh tranh trên các thị trường đang hình thành.</w:t>
      </w:r>
    </w:p>
    <w:p w:rsidR="00412429" w:rsidRDefault="00412429" w:rsidP="00EB267E">
      <w:pPr>
        <w:spacing w:line="340" w:lineRule="exact"/>
        <w:ind w:firstLine="0"/>
        <w:jc w:val="both"/>
        <w:rPr>
          <w:lang w:val="en-US"/>
        </w:rPr>
      </w:pPr>
    </w:p>
    <w:p w:rsidR="00412429" w:rsidRPr="00412429" w:rsidRDefault="00412429" w:rsidP="00EB267E">
      <w:pPr>
        <w:spacing w:line="340" w:lineRule="exact"/>
        <w:ind w:firstLine="0"/>
        <w:jc w:val="both"/>
        <w:rPr>
          <w:lang w:val="en-US"/>
        </w:rPr>
      </w:pPr>
      <w:r w:rsidRPr="00412429">
        <w:rPr>
          <w:lang w:val="en-US"/>
        </w:rPr>
        <w:t>Nền kinh tế Nga trong giai đoạn 2022–2024 đã phần nào thích ứng với các cú sốc bên ngoài, duy trì sự ổn định và cho thấy động lực tăng trưởng không tồi. Tuy nhiên, các lệnh cấm vận vẫn chưa đạt tới giới hạn tiềm năng của chúng, và tác động tiêu cực của chúng sẽ vẫn tiếp tục. Hạn chế tiếp cận công nghệ mới, đầu tư, và thị trường mới làm suy giảm khả năng chuyển sang mức tăng trưởng cao hơn mức trung bình toàn cầu, điều này đã được xác định là mục tiêu trong Nghị định của Tổng thống Liên bang Nga ngày 7 tháng 5 năm 2024 số 309 "Về các mục tiêu phát triển quốc gia của Liên bang Nga trong giai đoạn đến năm 2030 và triển vọng đến năm 2036".</w:t>
      </w:r>
    </w:p>
    <w:p w:rsidR="00412429" w:rsidRPr="00412429" w:rsidRDefault="00412429" w:rsidP="00EB267E">
      <w:pPr>
        <w:spacing w:line="340" w:lineRule="exact"/>
        <w:ind w:firstLine="0"/>
        <w:jc w:val="both"/>
        <w:rPr>
          <w:lang w:val="en-US"/>
        </w:rPr>
      </w:pPr>
    </w:p>
    <w:p w:rsidR="00412429" w:rsidRPr="00412429" w:rsidRDefault="00412429" w:rsidP="00EB267E">
      <w:pPr>
        <w:spacing w:line="340" w:lineRule="exact"/>
        <w:ind w:firstLine="0"/>
        <w:jc w:val="both"/>
        <w:rPr>
          <w:lang w:val="en-US"/>
        </w:rPr>
      </w:pPr>
      <w:r w:rsidRPr="00412429">
        <w:rPr>
          <w:lang w:val="en-US"/>
        </w:rPr>
        <w:lastRenderedPageBreak/>
        <w:t>Việc giải quyết các vấn đề liên quan đến việc vượt qua hoặc giảm thiểu hiệu ứng của áp lực cấm vận vẫn không biến mất khỏi chương trình nghị sự. Trong đó, điều quan trọng không chỉ là thích ứng với các lệnh cấm vận, mà còn là xây dựng một định hướng chiến lược cho sự phát triển bền vững và năng động trong bối cảnh địa chính trị và địa kinh tế mới, dựa trên kinh nghiệm đã tích lũy từ việc hoạt động của nền kinh tế dưới áp lực cấm vận, đánh giá khả năng từ cả hai phương diện: các hạn chế đang gia tăng và những cơ hội đang mở ra. Cùng với việc đặt ra các mục tiêu chiến lược rõ ràng, cần phải hình thành các cơ chế, thể chế để đạt được chúng và xác định các nguồn lực cần thiết cho việc này. Các nhiệm vụ quan trọng nhất vẫn là tái cấu trúc nền kinh tế, thúc đẩy sự phát triển khoa học - công nghệ nhằm đảm bảo chủ quyền công nghệ. Kết quả nghiên cứu được trình bày trong công trình cho thấy, mặc dù những quá trình này đang diễn ra với tốc độ nhanh chóng nhưng chủ yếu bị ảnh hưởng bởi các sự kiện hiện tại hơn là do tầm nhìn chiến lược về tương lai của Nga và việc xây dựng một mô hình phát triển mới.</w:t>
      </w:r>
    </w:p>
    <w:p w:rsidR="00412429" w:rsidRPr="00412429" w:rsidRDefault="00412429" w:rsidP="00EB267E">
      <w:pPr>
        <w:spacing w:line="340" w:lineRule="exact"/>
        <w:ind w:firstLine="0"/>
        <w:jc w:val="both"/>
        <w:rPr>
          <w:lang w:val="en-US"/>
        </w:rPr>
      </w:pPr>
    </w:p>
    <w:p w:rsidR="00412429" w:rsidRDefault="00412429" w:rsidP="00EB267E">
      <w:pPr>
        <w:spacing w:line="340" w:lineRule="exact"/>
        <w:ind w:firstLine="0"/>
        <w:jc w:val="both"/>
        <w:rPr>
          <w:lang w:val="en-US"/>
        </w:rPr>
      </w:pPr>
      <w:r w:rsidRPr="00412429">
        <w:rPr>
          <w:lang w:val="en-US"/>
        </w:rPr>
        <w:t>Chắc chắn rằng, trong bối cảnh hiện tại với nhiều bất định về địa chính trị và kinh tế, điều này là vô cùng khó khăn. Trong bối cảnh này, các vấn đề điều chỉnh chính sách kinh tế nhằm đảm bảo sự phát triển năng động của nền kinh tế quốc gia và đạt được chủ quyền công nghệ trong trung và dài hạn sẽ vẫn giữ được tính cấp thiết đặc biệt.</w:t>
      </w:r>
    </w:p>
    <w:p w:rsidR="00412429" w:rsidRDefault="00412429" w:rsidP="00EB267E">
      <w:pPr>
        <w:spacing w:line="340" w:lineRule="exact"/>
        <w:ind w:firstLine="0"/>
        <w:jc w:val="both"/>
        <w:rPr>
          <w:lang w:val="en-US"/>
        </w:rPr>
      </w:pPr>
    </w:p>
    <w:p w:rsidR="00412429" w:rsidRPr="00412429" w:rsidRDefault="00412429" w:rsidP="00EB267E">
      <w:pPr>
        <w:spacing w:line="340" w:lineRule="exact"/>
        <w:ind w:firstLine="0"/>
        <w:jc w:val="both"/>
        <w:rPr>
          <w:lang w:val="en-US"/>
        </w:rPr>
      </w:pPr>
      <w:r w:rsidRPr="00412429">
        <w:rPr>
          <w:lang w:val="en-US"/>
        </w:rPr>
        <w:t>Cần đặc biệt chú ý đến việc tìm kiếm các nguồn đầu tư bổ sung khả thi. Trước tiên, có thể nói đến các khoản vay đầu tư lãi suất thấp từ hệ thống ngân hàng, mà tỷ lệ của chúng ở Nga so với các quốc gia tiên tiến trên thế giới thấp hơn từ 3 đến 5 lần, huy động các khoản đầu tư bổ sung từ các tổ chức kinh doanh, rút ngắn thời gian khấu hao máy móc, thiết bị và đặc biệt là các thiết bị, mà ở Nga có thể coi là một trong những khoảng thời gian dài nhất trong số các quốc gia trên thế giới.</w:t>
      </w:r>
    </w:p>
    <w:p w:rsidR="00412429" w:rsidRPr="00412429" w:rsidRDefault="00412429" w:rsidP="00EB267E">
      <w:pPr>
        <w:spacing w:line="340" w:lineRule="exact"/>
        <w:ind w:firstLine="0"/>
        <w:jc w:val="both"/>
        <w:rPr>
          <w:lang w:val="en-US"/>
        </w:rPr>
      </w:pPr>
    </w:p>
    <w:p w:rsidR="00412429" w:rsidRPr="00412429" w:rsidRDefault="00412429" w:rsidP="00EB267E">
      <w:pPr>
        <w:spacing w:line="340" w:lineRule="exact"/>
        <w:ind w:firstLine="0"/>
        <w:jc w:val="both"/>
        <w:rPr>
          <w:lang w:val="en-US"/>
        </w:rPr>
      </w:pPr>
      <w:r w:rsidRPr="00412429">
        <w:rPr>
          <w:lang w:val="en-US"/>
        </w:rPr>
        <w:t>Ngoài ra, để phát triển bền vững và năng động, cần tăng cường đầu tư vào "kinh tế tri thức" (Nghiên cứu và phát triển, giáo dục, công nghệ thông tin-viễn thông, công nghệ sinh học và y tế) – phần chính của hệ thống hình thành nguồn nhân lực. Tỷ lệ của chúng trong GDP của Nga là 14%, trong khi ở Trung Quốc là 22%, ở các quốc gia EU là 30–35%, và ở Mỹ là 40%. Thực chất, đây là một trong những hướng chính để đảm bảo chủ quyền công nghệ.</w:t>
      </w:r>
    </w:p>
    <w:p w:rsidR="00412429" w:rsidRPr="00412429" w:rsidRDefault="00412429" w:rsidP="00EB267E">
      <w:pPr>
        <w:spacing w:line="340" w:lineRule="exact"/>
        <w:ind w:firstLine="0"/>
        <w:jc w:val="both"/>
        <w:rPr>
          <w:lang w:val="en-US"/>
        </w:rPr>
      </w:pPr>
    </w:p>
    <w:p w:rsidR="00412429" w:rsidRPr="00412429" w:rsidRDefault="00412429" w:rsidP="00EB267E">
      <w:pPr>
        <w:spacing w:line="340" w:lineRule="exact"/>
        <w:ind w:firstLine="0"/>
        <w:jc w:val="both"/>
        <w:rPr>
          <w:lang w:val="en-US"/>
        </w:rPr>
      </w:pPr>
      <w:r w:rsidRPr="00412429">
        <w:rPr>
          <w:lang w:val="en-US"/>
        </w:rPr>
        <w:t>Danh sách các công nghệ then chốt và xuyên suốt cần được làm rõ hơn từ góc độ đánh giá sâu hơn tác động của chúng đối với việc hiện đại hóa công nghệ nhanh chóng và phù hợp với các xu hướng toàn cầu trong việc đổi mới cơ sở công nghệ, cũng như triển vọng của đất nước khi tham gia vào các thị trường mới hình thành.</w:t>
      </w:r>
    </w:p>
    <w:p w:rsidR="00412429" w:rsidRPr="00412429" w:rsidRDefault="00412429" w:rsidP="00EB267E">
      <w:pPr>
        <w:spacing w:line="340" w:lineRule="exact"/>
        <w:ind w:firstLine="0"/>
        <w:jc w:val="both"/>
        <w:rPr>
          <w:lang w:val="en-US"/>
        </w:rPr>
      </w:pPr>
    </w:p>
    <w:p w:rsidR="00412429" w:rsidRPr="00412429" w:rsidRDefault="00412429" w:rsidP="00EB267E">
      <w:pPr>
        <w:spacing w:line="340" w:lineRule="exact"/>
        <w:ind w:firstLine="0"/>
        <w:jc w:val="both"/>
        <w:rPr>
          <w:lang w:val="en-US"/>
        </w:rPr>
      </w:pPr>
      <w:r w:rsidRPr="00412429">
        <w:rPr>
          <w:lang w:val="en-US"/>
        </w:rPr>
        <w:t>Rất quan trọng là mở rộng phạm vi nghiên cứu trong lĩnh vực thực tiễn ngành công nghiệp thay thế nhập khẩu và đảm bảo chủ quyền công nghệ. Trước hết là về công nghệ robot, hàng không, sản xuất ô tô, hóa học, công nghệ sinh học, là những ngành có vai trò cực kỳ quan trọng trong việc đảm bảo chủ quyền công nghệ. Và, dĩ nhiên, cần nghiên cứu sâu hơn về vấn đề hình thành hệ thống đổi mới sáng tạo quốc gia, có khả năng hoạt động hiệu quả trong những điều kiện mới.</w:t>
      </w:r>
    </w:p>
    <w:p w:rsidR="00412429" w:rsidRPr="00412429" w:rsidRDefault="00412429" w:rsidP="00EB267E">
      <w:pPr>
        <w:spacing w:line="340" w:lineRule="exact"/>
        <w:ind w:firstLine="0"/>
        <w:jc w:val="both"/>
        <w:rPr>
          <w:lang w:val="en-US"/>
        </w:rPr>
      </w:pPr>
    </w:p>
    <w:p w:rsidR="00412429" w:rsidRDefault="00412429" w:rsidP="00EB267E">
      <w:pPr>
        <w:spacing w:line="340" w:lineRule="exact"/>
        <w:ind w:firstLine="0"/>
        <w:jc w:val="both"/>
        <w:rPr>
          <w:lang w:val="en-US"/>
        </w:rPr>
      </w:pPr>
      <w:r w:rsidRPr="00412429">
        <w:rPr>
          <w:lang w:val="en-US"/>
        </w:rPr>
        <w:t>Công trình này cũng đặt ra các luận điểm và phương pháp nghiên cứu để trả lời cho các câu hỏi: làm thế nào để xây dựng các chuỗi của vòng đời đổi mới sáng tạo hoàn chỉnh, làm thế nào để vượt qua sự phân mảnh của hệ thống đổi mới sáng tạo và tình trạng "mở" giữa khoa học và sản xuất, làm thế nào để tạo ra điều kiện cho sự phát triển của các công ty công nghệ nhỏ, vừa và lớn, những điều kiện thể chế nào cần được xây dựng cho hệ thống này? Các phương pháp để giải quyết tất cả những câu hỏi này cần có thêm sự chứng minh khoa học.</w:t>
      </w:r>
    </w:p>
    <w:p w:rsidR="00EB267E" w:rsidRDefault="00EB267E" w:rsidP="00EB267E">
      <w:pPr>
        <w:spacing w:line="340" w:lineRule="exact"/>
        <w:ind w:firstLine="0"/>
        <w:jc w:val="both"/>
        <w:rPr>
          <w:lang w:val="en-US"/>
        </w:rPr>
      </w:pPr>
    </w:p>
    <w:p w:rsidR="00EB267E" w:rsidRPr="00EB267E" w:rsidRDefault="00EB267E" w:rsidP="00EB267E">
      <w:pPr>
        <w:spacing w:line="340" w:lineRule="exact"/>
        <w:ind w:firstLine="0"/>
        <w:jc w:val="both"/>
        <w:rPr>
          <w:lang w:val="en-US"/>
        </w:rPr>
      </w:pPr>
      <w:r w:rsidRPr="00EB267E">
        <w:rPr>
          <w:lang w:val="en-US"/>
        </w:rPr>
        <w:t>Trong bối cảnh giải quyết các vấn đề hiện đại hóa cấu trúc và đạt được chủ quyền công nghệ, sự cần thiết của những nhiệm vụ nghiên cứu như phát triển các cơ chế mới để tổ chức môi trường xã hội và hiện đại hóa chính sách xã hội ngày càng trở nên cấp bách. Nghiên cứu về chất lượng và đào tạo nghề của lực lượng lao động, cải thiện hiệu quả sử dụng lao động và khuyến khích việc làm cho tất cả các nhóm dân cư có khả năng lao động trở nên đặc biệt quan trọng.</w:t>
      </w:r>
    </w:p>
    <w:p w:rsidR="00EB267E" w:rsidRPr="00EB267E" w:rsidRDefault="00EB267E" w:rsidP="00EB267E">
      <w:pPr>
        <w:spacing w:line="340" w:lineRule="exact"/>
        <w:ind w:firstLine="0"/>
        <w:jc w:val="both"/>
        <w:rPr>
          <w:lang w:val="en-US"/>
        </w:rPr>
      </w:pPr>
    </w:p>
    <w:p w:rsidR="00EB267E" w:rsidRDefault="00EB267E" w:rsidP="00EB267E">
      <w:pPr>
        <w:spacing w:line="340" w:lineRule="exact"/>
        <w:ind w:firstLine="0"/>
        <w:jc w:val="both"/>
        <w:rPr>
          <w:lang w:val="en-US"/>
        </w:rPr>
      </w:pPr>
      <w:r w:rsidRPr="00EB267E">
        <w:rPr>
          <w:lang w:val="en-US"/>
        </w:rPr>
        <w:t>Sự chuyển đổi của nền kinh tế Nga, mặc dù có sự thay đổi đang diễn ra mạnh mẽ, vẫn còn xa mới hoàn thành. Và mặc dù nền kinh tế vẫn được đặc trưng bởi định hướng nguyên liệu, đặc điểm này giờ đây không còn chính xác như trong quá khứ gần đây. Tuy nhiên, việc nghiên cứu các vấn đề hiện đại hóa cấu trúc và công nghệ của nền kinh tế là cần thiết, ngay cả khi chúng ta hiểu rằng các quá trình này vẫn đang diễn ra. Điều này quan trọng cho nhận thức khoa học những kết quả đã đạt được, cho việc rút ra bài học liên quan, và để thực hiện chính sách cấu trúc hiệu quả hơn.</w:t>
      </w:r>
    </w:p>
    <w:p w:rsidR="00412429" w:rsidRDefault="00412429" w:rsidP="00EB267E">
      <w:pPr>
        <w:spacing w:line="340" w:lineRule="exact"/>
        <w:ind w:firstLine="0"/>
        <w:jc w:val="both"/>
        <w:rPr>
          <w:lang w:val="en-US"/>
        </w:rPr>
      </w:pPr>
    </w:p>
    <w:p w:rsidR="00412429" w:rsidRDefault="00412429" w:rsidP="00EB267E">
      <w:pPr>
        <w:spacing w:line="340" w:lineRule="exact"/>
        <w:ind w:firstLine="0"/>
        <w:jc w:val="both"/>
      </w:pPr>
      <w:r w:rsidRPr="00412429">
        <w:rPr>
          <w:lang w:val="en-US"/>
        </w:rPr>
        <w:t xml:space="preserve">Các tác giả của công trình đã cố gắng xác định những phương pháp tiếp cận khái niệm chính cho việc hiện đại hóa cấu trúc và công nghệ của nền kinh tế Nga trong bối cảnh bảo đảm chủ quyền công nghệ, nhằm xây dựng một mô hình phát triển bền vững. </w:t>
      </w:r>
      <w:r>
        <w:t>Điều này xác định một chương trình khoa học - công nghệ mới cho Nga, trong đó bao gồm việc hình thành các lĩnh vực chính sách kinh tế có liên quan đến khoa học - công nghệ và đầu tư, cũng như việc đưa ra các quyết định thể chế mới.</w:t>
      </w:r>
    </w:p>
    <w:p w:rsidR="00412429" w:rsidRDefault="00412429" w:rsidP="00EB267E">
      <w:pPr>
        <w:spacing w:line="340" w:lineRule="exact"/>
        <w:ind w:firstLine="0"/>
        <w:jc w:val="both"/>
      </w:pPr>
    </w:p>
    <w:p w:rsidR="00412429" w:rsidRDefault="00412429" w:rsidP="00EB267E">
      <w:pPr>
        <w:spacing w:line="340" w:lineRule="exact"/>
        <w:ind w:firstLine="0"/>
        <w:jc w:val="both"/>
      </w:pPr>
      <w:r>
        <w:t>Kết quả nghiên cứu được các tác giả trình bày góp phần mở rộng khả năng để cung cấp cơ sở khoa học cho các hướng đi và phát triển các cơ chế cụ thể nhằm hỗ trợ phát triển nền kinh tế Nga, được định hướng vào việc đổi mới công nghệ một cách hệ thống trong bối cảnh áp lực bên ngoài không ngừng gia tăng. Cần phải nghiên cứu sâu hơn về các đặc điểm cấu trúc không chỉ của nền kinh tế mà còn của hệ thống xã hội - kinh tế Nga nói chung, điều này trong một chừng mực nhất định đã cản trở việc thực hiện chính sách xây dựng chủ quyền công nghệ. Công trình đã chỉ ra sự không hiệu quả của cấu trúc xã hội - kinh tế hiện có ở Nga, mà về bản chất là nhà nước – tài phiệt. Đặc điểm chính của cấu trúc này là sự thiếu vắng "động cơ", tức là cơ chế thúc đẩy nền kinh tế và lĩnh vực xã hội. Trong suốt 33 năm tồn tại của nước Nga mới, GDP của nó đã tăng khoảng 25%, trong khi ở các nước Liên minh châu Âu - hơn 1,5 lần, ở Hoa Kỳ - gấp 2 lần, ở các nước hậu xã hội chủ nghĩa châu Âu - gấp 2,5 lần, ở các nước đang phát triển - trung bình từ 3 đến 5 lần, ở Ấn Độ - gấp 8,5 lần, và ở Trung Quốc - gấp 13,7 lần.</w:t>
      </w:r>
    </w:p>
    <w:p w:rsidR="00412429" w:rsidRDefault="00412429" w:rsidP="00EB267E">
      <w:pPr>
        <w:spacing w:line="340" w:lineRule="exact"/>
        <w:ind w:firstLine="0"/>
        <w:jc w:val="both"/>
      </w:pPr>
    </w:p>
    <w:p w:rsidR="00787031" w:rsidRDefault="00412429" w:rsidP="00EB267E">
      <w:pPr>
        <w:spacing w:line="340" w:lineRule="exact"/>
        <w:ind w:firstLine="0"/>
        <w:jc w:val="both"/>
      </w:pPr>
      <w:r>
        <w:t>Vấn đề tăng cường đầu tư vào vốn cố định vẫn là một thách thức cấp bách và quan trọng. Như đã đề cập trong công trình, trong những năm gần đây, tỷ lệ đầu tư vào GDP ở Nga rất thấp - 17–19%, trong khi tổng tích lũy vốn cố định với các chỉ số ẩn trong hệ thống tài khoản quốc gia chỉ nhỉnh hơn một chút - khoảng 22–23%. Với tỷ trọng đầu tư vào vốn cố định trong GDP như vậy, đất nước chỉ có thể thực hiện tái sản xuất đơn giản, chứ không phải tái sản xuất mở rộng. Kinh nghiệm của các nước công nghiệp, trong đó có Nga, cho thấy rằng tỷ lệ đầu tư vào vốn cố định phải đạt ít nhất 25%, nếu nền kinh tế tăng trưởng – trung bình từ 30–35%.</w:t>
      </w:r>
    </w:p>
    <w:p w:rsidR="00787031" w:rsidRPr="00787031" w:rsidRDefault="00787031" w:rsidP="00787031"/>
    <w:p w:rsidR="00787031" w:rsidRDefault="00787031" w:rsidP="00787031"/>
    <w:p w:rsidR="00BD398B" w:rsidRPr="00787031" w:rsidRDefault="00787031" w:rsidP="00787031">
      <w:pPr>
        <w:ind w:firstLine="0"/>
      </w:pPr>
      <w:bookmarkStart w:id="0" w:name="_GoBack"/>
      <w:r w:rsidRPr="00787031">
        <w:rPr>
          <w:b/>
          <w:i/>
          <w:lang w:val="en-US"/>
        </w:rPr>
        <w:t>Nguồn</w:t>
      </w:r>
      <w:r w:rsidRPr="00787031">
        <w:rPr>
          <w:b/>
          <w:i/>
        </w:rPr>
        <w:t xml:space="preserve"> </w:t>
      </w:r>
      <w:r w:rsidRPr="00787031">
        <w:rPr>
          <w:b/>
          <w:i/>
          <w:lang w:val="en-US"/>
        </w:rPr>
        <w:t>tin</w:t>
      </w:r>
      <w:bookmarkEnd w:id="0"/>
      <w:r w:rsidRPr="00787031">
        <w:t xml:space="preserve">: </w:t>
      </w:r>
      <w:r w:rsidRPr="00787031">
        <w:rPr>
          <w:lang w:val="en-US"/>
        </w:rPr>
        <w:t>Viện</w:t>
      </w:r>
      <w:r w:rsidRPr="00787031">
        <w:t xml:space="preserve"> </w:t>
      </w:r>
      <w:r w:rsidRPr="00787031">
        <w:rPr>
          <w:lang w:val="en-US"/>
        </w:rPr>
        <w:t>kinh</w:t>
      </w:r>
      <w:r w:rsidRPr="00787031">
        <w:t xml:space="preserve"> </w:t>
      </w:r>
      <w:r w:rsidRPr="00787031">
        <w:rPr>
          <w:lang w:val="en-US"/>
        </w:rPr>
        <w:t>tế</w:t>
      </w:r>
      <w:r w:rsidRPr="00787031">
        <w:t xml:space="preserve"> </w:t>
      </w:r>
      <w:r w:rsidRPr="00787031">
        <w:rPr>
          <w:lang w:val="en-US"/>
        </w:rPr>
        <w:t>Viện</w:t>
      </w:r>
      <w:r w:rsidRPr="00787031">
        <w:t xml:space="preserve"> </w:t>
      </w:r>
      <w:r w:rsidRPr="00787031">
        <w:rPr>
          <w:lang w:val="en-US"/>
        </w:rPr>
        <w:t>H</w:t>
      </w:r>
      <w:r w:rsidRPr="00787031">
        <w:t>à</w:t>
      </w:r>
      <w:r w:rsidRPr="00787031">
        <w:rPr>
          <w:lang w:val="en-US"/>
        </w:rPr>
        <w:t>n</w:t>
      </w:r>
      <w:r w:rsidRPr="00787031">
        <w:t xml:space="preserve"> </w:t>
      </w:r>
      <w:r w:rsidRPr="00787031">
        <w:rPr>
          <w:lang w:val="en-US"/>
        </w:rPr>
        <w:t>l</w:t>
      </w:r>
      <w:r w:rsidRPr="00787031">
        <w:t>â</w:t>
      </w:r>
      <w:r w:rsidRPr="00787031">
        <w:rPr>
          <w:lang w:val="en-US"/>
        </w:rPr>
        <w:t>m</w:t>
      </w:r>
      <w:r w:rsidRPr="00787031">
        <w:t xml:space="preserve"> </w:t>
      </w:r>
      <w:r w:rsidRPr="00787031">
        <w:rPr>
          <w:lang w:val="en-US"/>
        </w:rPr>
        <w:t>K</w:t>
      </w:r>
      <w:r>
        <w:rPr>
          <w:lang w:val="en-US"/>
        </w:rPr>
        <w:t>hoa</w:t>
      </w:r>
      <w:r w:rsidRPr="00787031">
        <w:t xml:space="preserve"> </w:t>
      </w:r>
      <w:r>
        <w:rPr>
          <w:lang w:val="en-US"/>
        </w:rPr>
        <w:t>học</w:t>
      </w:r>
      <w:r w:rsidRPr="00787031">
        <w:t xml:space="preserve"> </w:t>
      </w:r>
      <w:r w:rsidRPr="00787031">
        <w:rPr>
          <w:lang w:val="en-US"/>
        </w:rPr>
        <w:t>Nga</w:t>
      </w:r>
    </w:p>
    <w:sectPr w:rsidR="00BD398B" w:rsidRPr="00787031" w:rsidSect="008E3CBE">
      <w:pgSz w:w="11906" w:h="16838"/>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drawingGridHorizontalSpacing w:val="140"/>
  <w:drawingGridVerticalSpacing w:val="381"/>
  <w:displayHorizont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2429"/>
    <w:rsid w:val="00412429"/>
    <w:rsid w:val="00787031"/>
    <w:rsid w:val="008E3CBE"/>
    <w:rsid w:val="00BD398B"/>
    <w:rsid w:val="00EB267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8"/>
        <w:szCs w:val="28"/>
        <w:lang w:val="ru-RU" w:eastAsia="en-US" w:bidi="ar-SA"/>
      </w:rPr>
    </w:rPrDefault>
    <w:pPrDefault>
      <w:pPr>
        <w:ind w:firstLine="56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8"/>
        <w:szCs w:val="28"/>
        <w:lang w:val="ru-RU" w:eastAsia="en-US" w:bidi="ar-SA"/>
      </w:rPr>
    </w:rPrDefault>
    <w:pPrDefault>
      <w:pPr>
        <w:ind w:firstLine="56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1454</Words>
  <Characters>8291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cp:revision>
  <dcterms:created xsi:type="dcterms:W3CDTF">2026-08-27T19:16:00Z</dcterms:created>
  <dcterms:modified xsi:type="dcterms:W3CDTF">2026-08-27T19:20:00Z</dcterms:modified>
</cp:coreProperties>
</file>