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jc w:val="center"/>
        <w:rPr>
          <w:b w:val="1"/>
          <w:sz w:val="28"/>
          <w:szCs w:val="28"/>
        </w:rPr>
      </w:pPr>
      <w:bookmarkStart w:colFirst="0" w:colLast="0" w:name="_65a5h7716f9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C-PR-QC-001- QUY TRÌNH QUẢN LÝ CHẤT LƯỢNG TỔNG THỂ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240" w:line="240" w:lineRule="auto"/>
        <w:rPr>
          <w:b w:val="1"/>
          <w:sz w:val="22"/>
          <w:szCs w:val="22"/>
        </w:rPr>
      </w:pPr>
      <w:bookmarkStart w:colFirst="0" w:colLast="0" w:name="_a2ybvchv503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 Thông tin chung</w:t>
      </w:r>
    </w:p>
    <w:tbl>
      <w:tblPr>
        <w:tblStyle w:val="Table1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988.976377952757"/>
        <w:gridCol w:w="4988.976377952757"/>
        <w:tblGridChange w:id="0">
          <w:tblGrid>
            <w:gridCol w:w="4988.976377952757"/>
            <w:gridCol w:w="4988.976377952757"/>
          </w:tblGrid>
        </w:tblGridChange>
      </w:tblGrid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Mã tài liệu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C-PR-QC-001-01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Tên tài liệu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Quy trình quản lý chất lượng tổng thể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Phiên bản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Ngày ban hành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24/04/2025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phê duyệt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Tổng Giám đốc 1CAR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Phòng ban chủ quản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Phòng Đào tạo &amp; Tiêu chuẩn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Phạm vi áp dụng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Tất cả các garage Standard và Mini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 kỳ rà soát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tháng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u08stvf6b0j2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2. Mục đích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283.4645669291337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này thiết lập khung quản lý chất lượng tổng thể cho hệ thống 1CAR, đảm bảo tuân thủ tiêu chuẩn IATF 16949, nhằm: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680.3149606299213" w:hanging="340.1574803149606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chất lượng dịch vụ nhất quán và đáp ứng mong đợi của khách hàng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680.3149606299213" w:hanging="340.1574803149606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Xây dựng hệ thống kiểm soát và cải tiến liên tục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680.3149606299213" w:hanging="340.1574803149606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Phòng ngừa lỗi và giảm thiểu sự không phù hợp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680.3149606299213" w:hanging="340.1574803149606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Tăng cường sự hài lòng của khách hàng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680.3149606299213" w:hanging="340.1574803149606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tuân thủ các yêu cầu pháp lý và tiêu chuẩn ngành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4ydvmt9owdoc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 Phạm vi áp dụng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283.46456692913375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này áp dụng cho: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Tất cả các garage Standard và Mini trong hệ thống 1CAR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Tất cả các quy trình cốt lõi và quy trình quản lý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Tất cả các phòng ban và nhân viên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4g84enwca7uy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4. Tài liệu liên quan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l8g5im2emfbh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4.1 Tài liệu nội bộ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C-PL-MG-001: Chính sách chất lượng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C-PL-MG-002: Chính sách khách hàng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C-OK-MG-001: Bảng mục tiêu BSC-OKR-KPI tổng thể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C-PR-QC-002: Quy trình quản lý sự không phù hợp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C-PR-QC-003: Quy trình hành động khắc phục phòng ngừa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C-PR-QC-004: Quy trình đánh giá nội bộ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C-TD-QC-001: Danh mục rủi ro và cơ hội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4e1mvhex4n5p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4.2 Tài liệu bên ngoài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Tiêu chuẩn IATF 16949:2016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Tiêu chuẩn ISO 9001:2015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định pháp lý liên quan đến dịch vụ ô tô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m2vxdg13ac0s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5. Định nghĩa và viết tắt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IATF: International Automotive Task Force (Lực lượng đặc nhiệm ô tô quốc tế)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IQMS: Hệ thống quản lý chất lượng dựa trên IATF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QC: Quality Control (Kiểm soát chất lượng)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CAPA: Corrective Action and Preventive Action (Hành động khắc phục và phòng ngừa)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KPI: Key Performance Indicator (Chỉ số hiệu suất chính)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PDCA: Plan-Do-Check-Act (Lập kế hoạch-Thực hiện-Kiểm tra-Hành động)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IGMS: Hệ thống quản lý garage tích hợp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680.3149606299213" w:right="0" w:hanging="340.15748031496065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CRM 360: Hệ thống quản lý quan hệ khách hàng 360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u1z8ci3bxqi0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6. Trách nhiệm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tdyohk8xx6dt" w:id="9"/>
      <w:bookmarkEnd w:id="9"/>
      <w:r w:rsidDel="00000000" w:rsidR="00000000" w:rsidRPr="00000000">
        <w:rPr>
          <w:b w:val="1"/>
          <w:sz w:val="20"/>
          <w:szCs w:val="20"/>
          <w:rtl w:val="0"/>
        </w:rPr>
        <w:t xml:space="preserve">6.1 Ban Giám đốc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Phê duyệt chính sách chất lượng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Cung cấp nguồn lực cần thiết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Xem xét hiệu quả của hệ thống quản lý chất lượng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Thúc đẩy văn hóa chất lượng trong toàn tổ chức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6338e44jnypc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6.2 Phòng Đào tạo &amp; Tiêu chuẩn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Phát triển và duy trì hệ thống quản lý chất lượng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Cập nhật tiêu chuẩn và quy trình theo IATF 16949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Đào tạo nhân viên về quản lý chất lượng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Hỗ trợ các garage trong việc triển khai hệ thống quản lý chất lượng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sytk9tmjr05g" w:id="11"/>
      <w:bookmarkEnd w:id="11"/>
      <w:r w:rsidDel="00000000" w:rsidR="00000000" w:rsidRPr="00000000">
        <w:rPr>
          <w:b w:val="1"/>
          <w:sz w:val="20"/>
          <w:szCs w:val="20"/>
          <w:rtl w:val="0"/>
        </w:rPr>
        <w:t xml:space="preserve">6.3 Phòng Pháp lý &amp; Tuân thủ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tuân thủ các yêu cầu pháp lý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Cập nhật quy định pháp luật liên quan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Hỗ trợ xử lý các vấn đề pháp lý liên quan đến chất lượng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ktik08l3vt7" w:id="12"/>
      <w:bookmarkEnd w:id="12"/>
      <w:r w:rsidDel="00000000" w:rsidR="00000000" w:rsidRPr="00000000">
        <w:rPr>
          <w:b w:val="1"/>
          <w:sz w:val="20"/>
          <w:szCs w:val="20"/>
          <w:rtl w:val="0"/>
        </w:rPr>
        <w:t xml:space="preserve">6.4 Bộ phận Kiểm soát chất lượng (Garage Standard)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Triển khai hệ thống quản lý chất lượng tại garage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đánh giá nội bộ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Quản lý sự không phù hợp và hành động khắc phục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hiệu quả của hệ thống quản lý chất lượng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cknn6pxtomwt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6.5 Tổ trưởng Kỹ thuật (Garage Mini)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tuân thủ quy trình chất lượng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kiểm tra chất lượng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Quản lý sự không phù hợp và hành động khắc phục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vấn đề chất lượng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e5nbf8s6b5pd" w:id="14"/>
      <w:bookmarkEnd w:id="14"/>
      <w:r w:rsidDel="00000000" w:rsidR="00000000" w:rsidRPr="00000000">
        <w:rPr>
          <w:b w:val="1"/>
          <w:sz w:val="20"/>
          <w:szCs w:val="20"/>
          <w:rtl w:val="0"/>
        </w:rPr>
        <w:t xml:space="preserve">6.6 Tất cả nhân viên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Tuân thủ quy trình chất lượng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sự không phù hợp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Tham gia vào hoạt động cải tiến liên tục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907.0866141732284" w:right="0" w:hanging="226.771653543307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Đề xuất cải tiến quy trình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e2eyhfzguphw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7. Quy trình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mveumgp9pqqj" w:id="16"/>
      <w:bookmarkEnd w:id="16"/>
      <w:r w:rsidDel="00000000" w:rsidR="00000000" w:rsidRPr="00000000">
        <w:rPr>
          <w:b w:val="1"/>
          <w:sz w:val="20"/>
          <w:szCs w:val="20"/>
          <w:rtl w:val="0"/>
        </w:rPr>
        <w:t xml:space="preserve">7.1 Lập kế hoạch chất lượng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0" w:before="80" w:line="240" w:lineRule="auto"/>
        <w:ind w:left="680.3149606299213" w:firstLine="0"/>
        <w:rPr>
          <w:b w:val="1"/>
          <w:color w:val="000000"/>
          <w:sz w:val="20"/>
          <w:szCs w:val="20"/>
        </w:rPr>
      </w:pPr>
      <w:bookmarkStart w:colFirst="0" w:colLast="0" w:name="_6vyfilx5jzfv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7.1.1 Xác định bối cảnh tổ chức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tích các yếu tố bên trong và bên ngoài ảnh hưởng đến chất lượng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các bên liên quan và yêu cầu của họ</w:t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phạm vi của hệ thống quản lý chất lượng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gnafslsyp344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7.1.2 Xác định rủi ro và cơ hội</w:t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tích rủi ro liên quan đến chất lượng</w:t>
      </w:r>
    </w:p>
    <w:p w:rsidR="00000000" w:rsidDel="00000000" w:rsidP="00000000" w:rsidRDefault="00000000" w:rsidRPr="00000000" w14:paraId="0000005D">
      <w:pPr>
        <w:numPr>
          <w:ilvl w:val="1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cơ hội cải tiến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Lập kế hoạch giảm thiểu rủi ro và tận dụng cơ hội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jn0krlka1ofu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7.1.3 Thiết lập mục tiêu chất lượng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mục tiêu chất lượng phù hợp với chính sách chất lượng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mục tiêu có thể đo lường được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bổ mục tiêu cho các phòng ban và cá nhân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i09wikqcltad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7.1.4 Lập kế hoạch nguồn lực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nguồn lực cần thiết (nhân lực, cơ sở vật chất, thiết bị)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Lập kế hoạch đào tạo và phát triển năng lực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có đủ nguồn lực để đạt được mục tiêu chất lượng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fctv8cx9h9nj" w:id="21"/>
      <w:bookmarkEnd w:id="21"/>
      <w:r w:rsidDel="00000000" w:rsidR="00000000" w:rsidRPr="00000000">
        <w:rPr>
          <w:b w:val="1"/>
          <w:sz w:val="20"/>
          <w:szCs w:val="20"/>
          <w:rtl w:val="0"/>
        </w:rPr>
        <w:t xml:space="preserve">7.2 Thực hiện quản lý chất lượng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qorme2v1r2cz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7.2.1 Kiểm soát quy trình cốt lõi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các quy trình cốt lõi được thực hiện theo tiêu chuẩn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các chỉ số KPI của từng quy trình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và kiểm soát các điểm kiểm tra quan trọng</w:t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đặt lịch (C-PR-CS-BK-001)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tỷ lệ đặt lịch thành công (≥95% Standard, ≥90% Mini)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thời gian phản hồi yêu cầu đặt lịch (≤15 phút Standard, ≤30 phút Mini)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khách đến đúng hẹn (≥85% Standard, ≥80% Mini)</w:t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tiếp nhận (C-PR-CS-RC-002)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độ chính xác của thông tin tiếp nhận (≥95% Standard, ≥90% Mini)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tỷ lệ tư vấn dịch vụ bổ sung (100% cả Standard và Mini)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độ chính xác của dự toán ban đầu (≤10% chênh lệch Standard, ≤15% chênh lệch Mini)</w:t>
      </w:r>
    </w:p>
    <w:p w:rsidR="00000000" w:rsidDel="00000000" w:rsidP="00000000" w:rsidRDefault="00000000" w:rsidRPr="00000000" w14:paraId="0000007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chẩn đoán (C-PR-TE-DG-003)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tỷ lệ chẩn đoán chính xác (≥95% Standard, ≥90% Mini)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tỷ lệ phát hiện vấn đề tiềm ẩn (≥90% Standard, ≥80% Mini)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sử dụng thiết bị chẩn đoán chuyên dụng (100% Standard, ≥90% Mini)</w:t>
      </w:r>
    </w:p>
    <w:p w:rsidR="00000000" w:rsidDel="00000000" w:rsidP="00000000" w:rsidRDefault="00000000" w:rsidRPr="00000000" w14:paraId="0000007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sửa chữa (C-PR-TE-RP-004)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Kiểm soát tỷ lệ lỗi kỹ thuật (≤2% Standard, ≤5% Mini)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tỷ lệ tuân thủ quy trình kỹ thuật (100% Standard, ≥95% Mini)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sử dụng hiệu quả phụ tùng (≥95% Standard, ≥90% Mini)</w:t>
      </w:r>
    </w:p>
    <w:p w:rsidR="00000000" w:rsidDel="00000000" w:rsidP="00000000" w:rsidRDefault="00000000" w:rsidRPr="00000000" w14:paraId="0000007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sơn đồng (C-PR-TE-PT-005)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Kiểm soát tỷ lệ lỗi sơn (≤2% Standard, ≤5% Mini)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độ bóng sơn đạt tiêu chuẩn (≥95 GU Standard, ≥90 GU Mini)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khách hàng hài lòng với chất lượng sơn (≥95% Standard, ≥90% Mini)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detailing (C-PR-TE-DT-006)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độ bóng sau đánh bóng (≥95 GU Standard, ≥90 GU Mini)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tỷ lệ khách hàng hài lòng (≥98% Standard, ≥95% Mini)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tuân thủ quy trình (100% Standard, ≥95% Mini)</w:t>
      </w:r>
    </w:p>
    <w:p w:rsidR="00000000" w:rsidDel="00000000" w:rsidP="00000000" w:rsidRDefault="00000000" w:rsidRPr="00000000" w14:paraId="0000008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kiểm tra chất lượng (C-PR-QC-QC-007)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Kiểm soát tỷ lệ phát hiện lỗi (≥98% Standard, ≥95% Mini)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tỷ lệ xe đạt chuẩn chất lượng sau lần kiểm tra đầu tiên (≥90% Standard, ≥85% Mini)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khiếu nại về chất lượng sau bàn giao (≤1% Standard, ≤2% Mini)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bàn giao (C-PR-CS-HD-008)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tỷ lệ giải thích đầy đủ công việc (100% cả Standard và Mini)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tỷ lệ khách hàng hài lòng với quá trình bàn giao (≥95% Standard, ≥90% Mini)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tư vấn bảo quản xe (100% Standard, ≥90% Mini)</w:t>
      </w:r>
    </w:p>
    <w:p w:rsidR="00000000" w:rsidDel="00000000" w:rsidP="00000000" w:rsidRDefault="00000000" w:rsidRPr="00000000" w14:paraId="0000008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theo dõi (C-PR-CS-FU-010)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Kiểm soát tỷ lệ liên hệ sau dịch vụ (100% Standard, ≥90% Mini)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chỉ số hài lòng của khách hàng (≥90% Standard, ≥85% Mini)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giải quyết khiếu nại thành công (≥95% Standard, ≥90% Mini)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g32101tdfpi7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7.2.2 Kiểm soát quy trình quản lý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các quy trình quản lý được thực hiện hiệu quả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các chỉ số KPI của từng quy trình quản lý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và kiểm soát các điểm kiểm tra quan trọng</w:t>
      </w:r>
    </w:p>
    <w:p w:rsidR="00000000" w:rsidDel="00000000" w:rsidP="00000000" w:rsidRDefault="00000000" w:rsidRPr="00000000" w14:paraId="0000009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quản lý nhân sự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tỷ lệ nhân viên được đào tạo (100% cả Standard và Mini)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tỷ lệ nhân viên đạt KPI (≥85% Standard, ≥80% Mini)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giữ chân nhân viên (≥80%/năm Standard, ≥75%/năm Mini)</w:t>
      </w:r>
    </w:p>
    <w:p w:rsidR="00000000" w:rsidDel="00000000" w:rsidP="00000000" w:rsidRDefault="00000000" w:rsidRPr="00000000" w14:paraId="0000009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quản lý tài chính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tỷ lệ chính xác báo cáo tài chính (100% cả Standard và Mini)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tỷ lệ kiểm soát chi phí (≤3% chênh lệch Standard, ≤5% chênh lệch Mini)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tuân thủ quy định tài chính (100% cả Standard và Mini)</w:t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quản lý kho và phụ tùng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độ chính xác tồn kho (≥98% Standard, ≥95% Mini)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tỷ lệ phụ tùng có sẵn (≥95% Standard, ≥90% Mini)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luân chuyển hàng tồn kho (≥10 lần/năm Standard, ≥8 lần/năm Mini)</w:t>
      </w:r>
    </w:p>
    <w:p w:rsidR="00000000" w:rsidDel="00000000" w:rsidP="00000000" w:rsidRDefault="00000000" w:rsidRPr="00000000" w14:paraId="000000A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quản lý marketing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Kiểm soát ROI chiến dịch marketing (≥300% Standard, ≥250% Mini)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tỷ lệ khách hàng mới (≥25%/tháng Standard, ≥20%/tháng Mini)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Theo dõi tỷ lệ tương tác trên mạng xã hội (≥5% Standard, ≥3% Mini)</w:t>
      </w:r>
    </w:p>
    <w:p w:rsidR="00000000" w:rsidDel="00000000" w:rsidP="00000000" w:rsidRDefault="00000000" w:rsidRPr="00000000" w14:paraId="000000A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quản lý công nghệ và hệ thống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thời gian hoạt động hệ thống (≥99.5% Standard, ≥98% Mini)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Giám sát thời gian khắc phục sự cố (≤4 giờ Standard, ≤8 giờ Mini)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bảo mật dữ liệu (100% cả Standard và Mini)</w:t>
      </w:r>
    </w:p>
    <w:p w:rsidR="00000000" w:rsidDel="00000000" w:rsidP="00000000" w:rsidRDefault="00000000" w:rsidRPr="00000000" w14:paraId="000000A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Quy trình quản lý đào tạo và phát triển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soát số giờ đào tạo/nhân viên/năm (≥40 giờ Standard, ≥24 giờ Mini)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tỷ lệ áp dụng kiến thức đào tạo (≥80% Standard, ≥75% Mini)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Theo dõi tỷ lệ đạt chứng chỉ sau đào tạo (≥90% Standard, ≥85% Mini)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le3u1a5xqk18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7.2.3 Kiểm soát tài liệu và hồ sơ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Quản lý tài liệu theo quy định IATF 16949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sử dụng phiên bản mới nhất của tài liệu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Lưu trữ hồ sơ chất lượng theo thời gian quy định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cpyl7z9usem8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7.2.4 Quản lý nhà cung cấp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và lựa chọn nhà cung cấp dựa trên tiêu chí chất lượng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Giám sát hiệu suất của nhà cung cấp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đánh giá định kỳ nhà cung cấp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gntk3rtuz0t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7.2.5 Quản lý thiết bị đo lường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Hiệu chuẩn thiết bị đo lường theo lịch trình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minh thiết bị đo lường trước khi sử dụng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Duy trì hồ sơ hiệu chuẩn và xác minh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4xj5ywc3jxx4" w:id="27"/>
      <w:bookmarkEnd w:id="27"/>
      <w:r w:rsidDel="00000000" w:rsidR="00000000" w:rsidRPr="00000000">
        <w:rPr>
          <w:b w:val="1"/>
          <w:sz w:val="20"/>
          <w:szCs w:val="20"/>
          <w:rtl w:val="0"/>
        </w:rPr>
        <w:t xml:space="preserve">7.3 Kiểm tra và đánh giá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ektzht6vlrni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7.3.1 Giám sát và đo lường quy trình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 thập dữ liệu về hiệu suất quy trình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tích dữ liệu để xác định xu hướng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sánh kết quả với mục tiêu đã đặt ra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c2dzzlmwkc6j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7.3.2 Đánh giá nội bộ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Lập kế hoạch đánh giá nội bộ (3 tháng/lần Standard, 6 tháng/lần Mini)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đánh giá theo kế hoạch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kết quả đánh giá và theo dõi hành động khắc phục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jb64g1qzru9n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7.3.3 Đánh giá sự hài lòng của khách hàng</w:t>
      </w:r>
    </w:p>
    <w:p w:rsidR="00000000" w:rsidDel="00000000" w:rsidP="00000000" w:rsidRDefault="00000000" w:rsidRPr="00000000" w14:paraId="000000C2">
      <w:pPr>
        <w:numPr>
          <w:ilvl w:val="1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 thập phản hồi từ khách hàng</w:t>
      </w:r>
    </w:p>
    <w:p w:rsidR="00000000" w:rsidDel="00000000" w:rsidP="00000000" w:rsidRDefault="00000000" w:rsidRPr="00000000" w14:paraId="000000C3">
      <w:pPr>
        <w:numPr>
          <w:ilvl w:val="1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tích dữ liệu để xác định mức độ hài lòng</w:t>
      </w:r>
    </w:p>
    <w:p w:rsidR="00000000" w:rsidDel="00000000" w:rsidP="00000000" w:rsidRDefault="00000000" w:rsidRPr="00000000" w14:paraId="000000C4">
      <w:pPr>
        <w:numPr>
          <w:ilvl w:val="1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cơ hội cải tiến dựa trên phản hồi của khách hàng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bbwf85izy259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7.3.4 Xem xét của lãnh đạo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Tổ chức họp xem xét của lãnh đạo định kỳ (3 tháng/lần)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hiệu quả của hệ thống quản lý chất lượng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cơ hội cải tiến và ra quyết định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n7vp7d5q8lqw" w:id="32"/>
      <w:bookmarkEnd w:id="32"/>
      <w:r w:rsidDel="00000000" w:rsidR="00000000" w:rsidRPr="00000000">
        <w:rPr>
          <w:b w:val="1"/>
          <w:sz w:val="20"/>
          <w:szCs w:val="20"/>
          <w:rtl w:val="0"/>
        </w:rPr>
        <w:t xml:space="preserve">7.4 Cải tiến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ua3n4sggnwgd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7.4.1 Quản lý sự không phù hợp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và ghi nhận sự không phù hợp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tích nguyên nhân gốc rễ</w:t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hành động khắc phục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3k2303ikrbnz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7.4.2 Hành động khắc phục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nguyên nhân gốc rễ của sự không phù hợp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Lập kế hoạch hành động khắc phục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và xác minh hiệu quả của hành động khắc phục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yw9z7aj4jnn7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7.4.3 Hành động phòng ngừa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rủi ro tiềm ẩn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Lập kế hoạch hành động phòng ngừa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và đánh giá hiệu quả của hành động phòng ngừa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40" w:before="80" w:line="240" w:lineRule="auto"/>
        <w:ind w:left="680.3149606299213" w:right="0" w:firstLine="0"/>
        <w:jc w:val="left"/>
        <w:rPr>
          <w:b w:val="1"/>
          <w:color w:val="000000"/>
          <w:sz w:val="20"/>
          <w:szCs w:val="20"/>
        </w:rPr>
      </w:pPr>
      <w:bookmarkStart w:colFirst="0" w:colLast="0" w:name="_g78ba5eywnfi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7.4.4 Cải tiến liên tục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cơ hội cải tiến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Lập kế hoạch cải tiến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Thực hiện và đánh giá hiệu quả của cải tiến</w:t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ov2d2z85a2ch" w:id="37"/>
      <w:bookmarkEnd w:id="37"/>
      <w:r w:rsidDel="00000000" w:rsidR="00000000" w:rsidRPr="00000000">
        <w:rPr>
          <w:b w:val="1"/>
          <w:sz w:val="22"/>
          <w:szCs w:val="22"/>
          <w:rtl w:val="0"/>
        </w:rPr>
        <w:t xml:space="preserve">8. Đánh giá hiệu quả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582kst7zki4p" w:id="38"/>
      <w:bookmarkEnd w:id="38"/>
      <w:r w:rsidDel="00000000" w:rsidR="00000000" w:rsidRPr="00000000">
        <w:rPr>
          <w:b w:val="1"/>
          <w:sz w:val="20"/>
          <w:szCs w:val="20"/>
          <w:rtl w:val="0"/>
        </w:rPr>
        <w:t xml:space="preserve">8.1 Chỉ số đánh giá hiệu quả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Tỷ lệ tuân thủ IATF 16949 (≥95% Standard, ≥90% Mini)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Tỷ lệ hoàn thành mục tiêu chất lượng (≥90% Standard, ≥85% Mini)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Chỉ số hài lòng của khách hàng (≥90% Standard, ≥85% Mini)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Tỷ lệ khiếu nại (≤1% Standard, ≤2% Mini)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Tỷ lệ hành động khắc phục đúng hạn (≥90% Standard, ≥85% Mini)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wpcdh2vk0qe5" w:id="39"/>
      <w:bookmarkEnd w:id="39"/>
      <w:r w:rsidDel="00000000" w:rsidR="00000000" w:rsidRPr="00000000">
        <w:rPr>
          <w:b w:val="1"/>
          <w:sz w:val="20"/>
          <w:szCs w:val="20"/>
          <w:rtl w:val="0"/>
        </w:rPr>
        <w:t xml:space="preserve">8.2 Phương pháp đánh giá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Thu thập dữ liệu từ hệ thống IQMS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Phân tích dữ liệu bằng công cụ thống kê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sánh kết quả với mục tiêu đã đặt ra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Xác định xu hướng và cơ hội cải tiến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wk0rbmkoaufu" w:id="40"/>
      <w:bookmarkEnd w:id="40"/>
      <w:r w:rsidDel="00000000" w:rsidR="00000000" w:rsidRPr="00000000">
        <w:rPr>
          <w:b w:val="1"/>
          <w:sz w:val="20"/>
          <w:szCs w:val="20"/>
          <w:rtl w:val="0"/>
        </w:rPr>
        <w:t xml:space="preserve">8.3 Tần suất đánh giá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hàng ngày: Các chỉ số vận hành cơ bản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hàng tuần: Các chỉ số vận hành chi tiết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hàng tháng: Các chỉ số tổng hợp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hàng quý: Các chỉ số chiến lược</w:t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bd5sn67kn8zn" w:id="41"/>
      <w:bookmarkEnd w:id="41"/>
      <w:r w:rsidDel="00000000" w:rsidR="00000000" w:rsidRPr="00000000">
        <w:rPr>
          <w:b w:val="1"/>
          <w:sz w:val="22"/>
          <w:szCs w:val="22"/>
          <w:rtl w:val="0"/>
        </w:rPr>
        <w:t xml:space="preserve">9. Biểu mẫu và hồ sơ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vjr74597gdh4" w:id="42"/>
      <w:bookmarkEnd w:id="42"/>
      <w:r w:rsidDel="00000000" w:rsidR="00000000" w:rsidRPr="00000000">
        <w:rPr>
          <w:b w:val="1"/>
          <w:sz w:val="20"/>
          <w:szCs w:val="20"/>
          <w:rtl w:val="0"/>
        </w:rPr>
        <w:t xml:space="preserve">9.1 Biểu mẫu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C-FM-QC-001: Biểu mẫu đánh giá nội bộ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C-FM-QC-002: Biểu mẫu báo cáo sự không phù hợp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C-FM-QC-003: Biểu mẫu hành động khắc phục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C-FM-QC-004: Biểu mẫu đánh giá rủi ro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C-FM-QC-005: Biểu mẫu đánh giá nhà cung cấp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C-FM-QC-006: Biểu mẫu xem xét của lãnh đạo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8l91w12mkkl8" w:id="43"/>
      <w:bookmarkEnd w:id="43"/>
      <w:r w:rsidDel="00000000" w:rsidR="00000000" w:rsidRPr="00000000">
        <w:rPr>
          <w:b w:val="1"/>
          <w:sz w:val="20"/>
          <w:szCs w:val="20"/>
          <w:rtl w:val="0"/>
        </w:rPr>
        <w:t xml:space="preserve">9.2 Hồ sơ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Kế hoạch chất lượng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đánh giá nội bộ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Báo cáo sự không phù hợp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Hồ sơ hành động khắc phục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Biên bản họp xem xét của lãnh đạo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Hồ sơ đánh giá nhà cung cấp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0" w:before="0" w:line="240" w:lineRule="auto"/>
        <w:ind w:left="1020.472440944882" w:right="0" w:hanging="340.1574803149607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Hồ sơ hiệu chuẩn thiết bị đo lường</w:t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wt14ndpopgbk" w:id="44"/>
      <w:bookmarkEnd w:id="44"/>
      <w:r w:rsidDel="00000000" w:rsidR="00000000" w:rsidRPr="00000000">
        <w:rPr>
          <w:b w:val="1"/>
          <w:sz w:val="22"/>
          <w:szCs w:val="22"/>
          <w:rtl w:val="0"/>
        </w:rPr>
        <w:t xml:space="preserve">10. Phụ lục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sz w:val="20"/>
          <w:szCs w:val="20"/>
        </w:rPr>
      </w:pPr>
      <w:bookmarkStart w:colFirst="0" w:colLast="0" w:name="_xm3xutmifvre" w:id="45"/>
      <w:bookmarkEnd w:id="45"/>
      <w:r w:rsidDel="00000000" w:rsidR="00000000" w:rsidRPr="00000000">
        <w:rPr>
          <w:b w:val="1"/>
          <w:sz w:val="20"/>
          <w:szCs w:val="20"/>
          <w:rtl w:val="0"/>
        </w:rPr>
        <w:t xml:space="preserve">10.1 Sơ đồ quy trình PDCA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311138</wp:posOffset>
                </wp:positionV>
                <wp:extent cx="4867275" cy="2825308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2725" y="362975"/>
                          <a:ext cx="4867275" cy="2825308"/>
                          <a:chOff x="372725" y="362975"/>
                          <a:chExt cx="5256200" cy="3044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7500" y="367750"/>
                            <a:ext cx="2191500" cy="12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Xác định bối cảnh tổ chức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Xác định rủi ro và cơ hội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Thiết lập mục tiêu chất lượng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 Lập kế hoạch nguồn lực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101752" y="367750"/>
                            <a:ext cx="2522400" cy="12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Kiểm soát quy trình cốt lõi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Kiểm soát quy trình quản lý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Kiểm soát quy trình tài liệu và hồ sơ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Quản lý nhà cung cấp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Quản lý thiết bị đo lường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01752" y="2107050"/>
                            <a:ext cx="2522400" cy="12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CHECK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Giám sát và đo lường quy trình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Đánh giá nội bộ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Đánh giá sự hài lòng của khách hàng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Xem xét của lãnh đạo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7500" y="2107050"/>
                            <a:ext cx="2191500" cy="12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Quản lý sự không phù hợp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Hành động khắc phục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Hành động phòng ngừa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Cải tiến liên tục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9000" y="1015450"/>
                            <a:ext cx="53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62952" y="1663150"/>
                            <a:ext cx="0" cy="4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8952" y="2754750"/>
                            <a:ext cx="53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73250" y="1663050"/>
                            <a:ext cx="0" cy="44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311138</wp:posOffset>
                </wp:positionV>
                <wp:extent cx="4867275" cy="2825308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2825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80" w:before="120" w:line="240" w:lineRule="auto"/>
        <w:ind w:left="340.15748031496065" w:right="0" w:firstLine="0"/>
        <w:jc w:val="left"/>
        <w:rPr>
          <w:b w:val="1"/>
          <w:sz w:val="20"/>
          <w:szCs w:val="20"/>
        </w:rPr>
      </w:pPr>
      <w:bookmarkStart w:colFirst="0" w:colLast="0" w:name="_t6f33w7x8z80" w:id="46"/>
      <w:bookmarkEnd w:id="46"/>
      <w:r w:rsidDel="00000000" w:rsidR="00000000" w:rsidRPr="00000000">
        <w:rPr>
          <w:b w:val="1"/>
          <w:sz w:val="20"/>
          <w:szCs w:val="20"/>
          <w:rtl w:val="0"/>
        </w:rPr>
        <w:t xml:space="preserve">10.2 Đối chiếu với IATF 16949</w:t>
      </w:r>
    </w:p>
    <w:tbl>
      <w:tblPr>
        <w:tblStyle w:val="Table2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988.976377952757"/>
        <w:gridCol w:w="4988.976377952757"/>
        <w:tblGridChange w:id="0">
          <w:tblGrid>
            <w:gridCol w:w="4988.976377952757"/>
            <w:gridCol w:w="4988.976377952757"/>
          </w:tblGrid>
        </w:tblGridChange>
      </w:tblGrid>
      <w:tr>
        <w:trPr>
          <w:cantSplit w:val="0"/>
          <w:trHeight w:val="340.15748031496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Mục trong quy trình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Điều khoản IATF 16949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 Lập kế hoạch chất lượng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4.1, 4.2, 4.3, 6.1, 6.2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 Thực hiện quản lý chất lượng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7.1, 7.5, 8.1, 8.2, 8.3, 8.4, 8.5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7.3 Kiểm tra và đánh giá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9.1, 9.2, 9.3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 Cải tiến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10.1, 10.2, 10.3</w:t>
            </w:r>
          </w:p>
        </w:tc>
      </w:tr>
    </w:tbl>
    <w:p w:rsidR="00000000" w:rsidDel="00000000" w:rsidP="00000000" w:rsidRDefault="00000000" w:rsidRPr="00000000" w14:paraId="00000108">
      <w:pPr>
        <w:pStyle w:val="Heading1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7ai1vr3cbb31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11. Phê duyệt</w:t>
      </w:r>
    </w:p>
    <w:tbl>
      <w:tblPr>
        <w:tblStyle w:val="Table3"/>
        <w:tblW w:w="9977.952755905513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267.716535433071"/>
        <w:gridCol w:w="3174.8031496062995"/>
        <w:gridCol w:w="2267.716535433071"/>
        <w:gridCol w:w="2267.716535433071"/>
        <w:tblGridChange w:id="0">
          <w:tblGrid>
            <w:gridCol w:w="2267.716535433071"/>
            <w:gridCol w:w="3174.8031496062995"/>
            <w:gridCol w:w="2267.716535433071"/>
            <w:gridCol w:w="2267.716535433071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Chức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Họ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Chữ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Ngày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lập</w:t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kiểm tra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Người phê duyệt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680.3149606299213" w:top="850.3937007874016" w:left="1133.8582677165355" w:right="680.3149606299213" w:header="340.15748031496065" w:footer="340.157480314960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