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w="http://schemas.openxmlformats.org/wordprocessingml/2006/main" mc:Ignorable="w14 w15 w16se w16cid w16 w16cex w16sdtdh w16sdtfl w16du wp14">
  <w:body>
    <w:p ns2:paraId="53D1BE86" ns2:textId="77777777" w:rsidR="008346FD" w:rsidRDefault="00000000">
      <w:pPr>
        <w:pStyle w:val="Title"/>
        <w:spacing w:before="0" w:after="110" w:line="276" w:lineRule="auto"/>
        <w:jc w:val="center"/>
      </w:pPr>
      <w:r>
        <w:rPr>
          <w:rFonts w:ascii="Arial" w:hAnsi="Arial" w:cs="Arial" w:eastAsia="Arial"/>
          <w:sz w:val="32"/>
          <w:szCs w:val="32"/>
          <w:color w:val="0B2545"/>
          <w:b/>
          <w:bCs/>
        </w:rPr>
        <w:t>ASIAN HACKATHON FOR GREEN FUTURE 2026 — PROJECT PROPOSAL</w:t>
      </w:r>
    </w:p>
    <w:p ns2:paraId="3086F45F" ns2:textId="77777777" w:rsidR="008346FD" w:rsidRDefault="00000000">
      <w:pPr>
        <w:pStyle w:val="Subtitle"/>
        <w:spacing w:before="0" w:after="180" w:line="286" w:lineRule="auto"/>
        <w:jc w:val="center"/>
      </w:pPr>
      <w:r>
        <w:rPr>
          <w:rFonts w:ascii="Arial" w:hAnsi="Arial" w:cs="Arial" w:eastAsia="Arial"/>
          <w:sz w:val="22"/>
          <w:szCs w:val="22"/>
          <w:color w:val="475569"/>
        </w:rPr>
        <w:t>FirmGrid — Sun-to-Wheels &amp; Sun-to-Servers: the intelligence layer that turns Vietnam's wasted rooftop solar into firm clean power</w:t>
      </w:r>
    </w:p>
    <w:p ns2:paraId="4459A43F" ns2:textId="77777777" w:rsidR="008346FD" w:rsidRDefault="00000000">
      <w:pPr>
        <w:pStyle w:val="Normal"/>
        <w:spacing w:before="0" w:after="220" w:line="286" w:lineRule="auto"/>
        <w:jc w:val="center"/>
      </w:pPr>
      <w:r>
        <w:rPr>
          <w:rFonts w:ascii="Arial" w:hAnsi="Arial" w:cs="Arial" w:eastAsia="Arial"/>
          <w:sz w:val="21"/>
          <w:szCs w:val="21"/>
          <w:color w:val="334155"/>
          <w:b/>
          <w:bCs/>
        </w:rPr>
        <w:t>TEAM NAME: [TEAM_NAME]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50" w:type="dxa"/>
          <w:left w:w="160" w:type="dxa"/>
          <w:bottom w:w="150" w:type="dxa"/>
          <w:right w:w="160" w:type="dxa"/>
        </w:tblCellMar>
        <w:tblLook w:firstRow="1" w:lastRow="0" w:firstColumn="0" w:lastColumn="0" w:noHBand="1" w:noVBand="1"/>
      </w:tblPr>
      <w:tblGrid>
        <w:gridCol w:w="760"/>
        <w:gridCol w:w="2700"/>
        <w:gridCol w:w="5900"/>
      </w:tblGrid>
      <w:tr w:rsidR="008346FD" ns2:paraId="4C777A65" ns2:textId="77777777">
        <w:trPr>
          <w:tblHeader/>
        </w:trPr>
        <w:tc>
          <w:tcPr>
            <w:tcW w:w="760" w:type="dxa"/>
            <w:shd w:fill="E8EEF5" w:val="clear"/>
            <w:vAlign w:val="center"/>
          </w:tcPr>
          <w:p ns2:paraId="3DFEE685" ns2:textId="77777777" w:rsidR="008346FD" w:rsidRDefault="00000000">
            <w:pPr>
              <w:pStyle w:val="Normal"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sz w:val="21"/>
                <w:szCs w:val="21"/>
                <w:color w:val="1F2937"/>
                <w:b/>
                <w:bCs/>
              </w:rPr>
              <w:t>No.</w:t>
            </w:r>
          </w:p>
        </w:tc>
        <w:tc>
          <w:tcPr>
            <w:tcW w:w="2700" w:type="dxa"/>
            <w:shd w:fill="E8EEF5" w:val="clear"/>
            <w:vAlign w:val="center"/>
          </w:tcPr>
          <w:p ns2:paraId="76DE49CA" ns2:textId="77777777" w:rsidR="008346FD" w:rsidRDefault="00000000">
            <w:pPr>
              <w:pStyle w:val="Normal"/>
              <w:spacing w:before="0" w:after="0" w:line="276" w:lineRule="auto"/>
              <w:jc w:val="left"/>
            </w:pPr>
            <w:r>
              <w:rPr>
                <w:rFonts w:ascii="Arial" w:hAnsi="Arial" w:cs="Arial" w:eastAsia="Arial"/>
                <w:sz w:val="21"/>
                <w:szCs w:val="21"/>
                <w:color w:val="1F2937"/>
                <w:b/>
                <w:bCs/>
              </w:rPr>
              <w:t>Full Name</w:t>
            </w:r>
          </w:p>
        </w:tc>
        <w:tc>
          <w:tcPr>
            <w:tcW w:w="5900" w:type="dxa"/>
            <w:shd w:fill="E8EEF5" w:val="clear"/>
            <w:vAlign w:val="center"/>
          </w:tcPr>
          <w:p ns2:paraId="48C1C38B" ns2:textId="77777777" w:rsidR="008346FD" w:rsidRDefault="00000000">
            <w:pPr>
              <w:pStyle w:val="Normal"/>
              <w:spacing w:before="0" w:after="0" w:line="276" w:lineRule="auto"/>
              <w:jc w:val="left"/>
            </w:pPr>
            <w:r>
              <w:rPr>
                <w:rFonts w:ascii="Arial" w:hAnsi="Arial" w:cs="Arial" w:eastAsia="Arial"/>
                <w:sz w:val="21"/>
                <w:szCs w:val="21"/>
                <w:color w:val="1F2937"/>
                <w:b/>
                <w:bCs/>
              </w:rPr>
              <w:t>Role</w:t>
            </w:r>
          </w:p>
        </w:tc>
      </w:tr>
      <w:tr w:rsidR="008346FD" ns2:paraId="4292F009" ns2:textId="77777777">
        <w:trPr/>
        <w:tc>
          <w:tcPr>
            <w:tcW w:w="760" w:type="dxa"/>
            <w:vAlign w:val="center"/>
          </w:tcPr>
          <w:p ns2:paraId="1E9F58CC" ns2:textId="77777777" w:rsidR="008346FD" w:rsidRDefault="00000000">
            <w:pPr>
              <w:pStyle w:val="Normal"/>
              <w:spacing w:before="0" w:after="0" w:line="276" w:lineRule="auto"/>
              <w:jc w:val="center"/>
            </w:pPr>
            <w:r>
              <w:t>1</w:t>
              <w:rPr>
                <w:rFonts w:ascii="Arial" w:hAnsi="Arial" w:cs="Arial" w:eastAsia="Arial"/>
                <w:sz w:val="21"/>
                <w:szCs w:val="21"/>
                <w:color w:val="1F2937"/>
              </w:rPr>
            </w:r>
          </w:p>
        </w:tc>
        <w:tc>
          <w:tcPr>
            <w:tcW w:w="2700" w:type="dxa"/>
            <w:vAlign w:val="center"/>
          </w:tcPr>
          <w:p ns2:paraId="621E575C" ns2:textId="42B999F8" w:rsidR="008346FD" w:rsidRDefault="00162585">
            <w:pPr>
              <w:pStyle w:val="Normal"/>
              <w:spacing w:before="0" w:after="0" w:line="276" w:lineRule="auto"/>
              <w:jc w:val="left"/>
            </w:pPr>
            <w:r>
              <w:t>Nguyen Hoang Hieu</w:t>
              <w:rPr>
                <w:rFonts w:ascii="Arial" w:hAnsi="Arial" w:cs="Arial" w:eastAsia="Arial"/>
                <w:sz w:val="21"/>
                <w:szCs w:val="21"/>
                <w:color w:val="1F2937"/>
              </w:rPr>
            </w:r>
          </w:p>
        </w:tc>
        <w:tc>
          <w:tcPr>
            <w:tcW w:w="5900" w:type="dxa"/>
            <w:vAlign w:val="center"/>
          </w:tcPr>
          <w:p ns2:paraId="326D3A53" ns2:textId="77777777" w:rsidR="008346FD" w:rsidRDefault="00000000">
            <w:pPr>
              <w:pStyle w:val="Normal"/>
              <w:spacing w:before="0" w:after="0" w:line="276" w:lineRule="auto"/>
              <w:jc w:val="left"/>
            </w:pPr>
            <w:r>
              <w:t xml:space="preserve">[Team lead / ML &amp; </w:t>
              <w:rPr>
                <w:rFonts w:ascii="Arial" w:hAnsi="Arial" w:cs="Arial" w:eastAsia="Arial"/>
                <w:sz w:val="21"/>
                <w:szCs w:val="21"/>
                <w:color w:val="1F2937"/>
              </w:rPr>
            </w:r>
            <w:proofErr w:type="spellStart"/>
            <w:r>
              <w:t>optimisation</w:t>
              <w:rPr>
                <w:rFonts w:ascii="Arial" w:hAnsi="Arial" w:cs="Arial" w:eastAsia="Arial"/>
                <w:sz w:val="21"/>
                <w:szCs w:val="21"/>
                <w:color w:val="1F2937"/>
              </w:rPr>
            </w:r>
            <w:proofErr w:type="spellEnd"/>
            <w:r>
              <w:t>]</w:t>
              <w:rPr>
                <w:rFonts w:ascii="Arial" w:hAnsi="Arial" w:cs="Arial" w:eastAsia="Arial"/>
                <w:sz w:val="21"/>
                <w:szCs w:val="21"/>
                <w:color w:val="1F2937"/>
              </w:rPr>
            </w:r>
          </w:p>
          <w:p ns2:paraId="410A48AD" ns2:textId="236351BA" w:rsidR="003A3E89" w:rsidRDefault="003A3E89">
            <w:pPr>
              <w:pStyle w:val="Normal"/>
              <w:spacing w:before="0" w:after="0" w:line="276" w:lineRule="auto"/>
              <w:jc w:val="left"/>
            </w:pPr>
            <w:r>
              <w:t>[Backend &amp; settlement engineering]</w:t>
              <w:rPr>
                <w:rFonts w:ascii="Arial" w:hAnsi="Arial" w:cs="Arial" w:eastAsia="Arial"/>
                <w:sz w:val="21"/>
                <w:szCs w:val="21"/>
                <w:color w:val="1F2937"/>
              </w:rPr>
            </w:r>
          </w:p>
        </w:tc>
      </w:tr>
      <w:tr w:rsidR="008346FD" ns2:paraId="3DA12107" ns2:textId="77777777">
        <w:trPr/>
        <w:tc>
          <w:tcPr>
            <w:tcW w:w="760" w:type="dxa"/>
            <w:vAlign w:val="center"/>
          </w:tcPr>
          <w:p ns2:paraId="1A0F6549" ns2:textId="77777777" w:rsidR="008346FD" w:rsidRDefault="00000000">
            <w:pPr>
              <w:pStyle w:val="Normal"/>
              <w:spacing w:before="0" w:after="0" w:line="276" w:lineRule="auto"/>
              <w:jc w:val="center"/>
            </w:pPr>
            <w:r>
              <w:t>2</w:t>
              <w:rPr>
                <w:rFonts w:ascii="Arial" w:hAnsi="Arial" w:cs="Arial" w:eastAsia="Arial"/>
                <w:sz w:val="21"/>
                <w:szCs w:val="21"/>
                <w:color w:val="1F2937"/>
              </w:rPr>
            </w:r>
          </w:p>
        </w:tc>
        <w:tc>
          <w:tcPr>
            <w:tcW w:w="2700" w:type="dxa"/>
            <w:vAlign w:val="center"/>
          </w:tcPr>
          <w:p ns2:paraId="5BAD5718" ns2:textId="146B644C" w:rsidR="008346FD" w:rsidRDefault="00162585">
            <w:pPr>
              <w:pStyle w:val="Normal"/>
              <w:spacing w:before="0" w:after="0" w:line="276" w:lineRule="auto"/>
              <w:jc w:val="left"/>
            </w:pPr>
            <w:r>
              <w:t>Nguyen Quoc Dangs</w:t>
              <w:rPr>
                <w:rFonts w:ascii="Arial" w:hAnsi="Arial" w:cs="Arial" w:eastAsia="Arial"/>
                <w:sz w:val="21"/>
                <w:szCs w:val="21"/>
                <w:color w:val="1F2937"/>
              </w:rPr>
            </w:r>
          </w:p>
        </w:tc>
        <w:tc>
          <w:tcPr>
            <w:tcW w:w="5900" w:type="dxa"/>
            <w:vAlign w:val="center"/>
          </w:tcPr>
          <w:p ns2:paraId="5DD0D8F8" ns2:textId="77777777" w:rsidR="008346FD" w:rsidRDefault="00000000">
            <w:pPr>
              <w:pStyle w:val="Normal"/>
              <w:spacing w:before="0" w:after="0" w:line="276" w:lineRule="auto"/>
              <w:jc w:val="left"/>
            </w:pPr>
            <w:r>
              <w:t>[Power systems &amp; digital twin]</w:t>
              <w:rPr>
                <w:rFonts w:ascii="Arial" w:hAnsi="Arial" w:cs="Arial" w:eastAsia="Arial"/>
                <w:sz w:val="21"/>
                <w:szCs w:val="21"/>
                <w:color w:val="1F2937"/>
              </w:rPr>
            </w:r>
          </w:p>
          <w:p ns2:paraId="23F308B1" ns2:textId="30208EE4" w:rsidR="003A3E89" w:rsidRDefault="003A3E89">
            <w:pPr>
              <w:pStyle w:val="Normal"/>
              <w:spacing w:before="0" w:after="0" w:line="276" w:lineRule="auto"/>
              <w:jc w:val="left"/>
            </w:pPr>
            <w:r>
              <w:t>[Product, UX &amp; policy research]</w:t>
              <w:rPr>
                <w:rFonts w:ascii="Arial" w:hAnsi="Arial" w:cs="Arial" w:eastAsia="Arial"/>
                <w:sz w:val="21"/>
                <w:szCs w:val="21"/>
                <w:color w:val="1F2937"/>
              </w:rPr>
            </w:r>
          </w:p>
        </w:tc>
      </w:tr>
    </w:tbl>
    <w:p ns2:paraId="29B4B555" ns2:textId="77777777" w:rsidR="008346FD" w:rsidRDefault="00000000">
      <w:pPr>
        <w:pStyle w:val="Heading1"/>
        <w:keepNext/>
        <w:spacing w:before="340" w:after="150" w:line="286" w:lineRule="auto"/>
        <w:jc w:val="left"/>
      </w:pPr>
      <w:r>
        <w:rPr>
          <w:rFonts w:ascii="Arial" w:hAnsi="Arial" w:cs="Arial" w:eastAsia="Arial"/>
          <w:sz w:val="28"/>
          <w:szCs w:val="28"/>
          <w:color w:val="0B2545"/>
          <w:b/>
          <w:bCs/>
        </w:rPr>
        <w:t>1. PROJECT OVERVIEW</w:t>
      </w:r>
    </w:p>
    <w:p ns2:paraId="149D3D32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1.1 Project Title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FirmGrid — Sun-to-Wheels &amp; Sun-to-Servers: the intelligence layer that turns Vietnam's wasted rooftop solar into firm clean power</w:t>
      </w:r>
    </w:p>
    <w:p ns2:paraId="6F416D4B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1.2 Key challenge area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☒ Renewable Energy and Low-Carbon Mobility   ☐ Urban Air Quality and Climate Resilience   ☐ Water Resources and Climate-Resilient Agriculture</w:t>
      </w:r>
    </w:p>
    <w:p ns2:paraId="3C0AD70C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1.3 Solution category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☒ Software/Platform   ☐ Mobile App/Web App   ☐ Hardware/IoT   ☐ Integrated Solution</w:t>
      </w:r>
    </w:p>
    <w:p ns2:paraId="06E8CA7E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1.4 Project Summary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Vietnam curtails rooftop solar at noon and burns coal after sunset, just as two demand waves arrive: electric two-wheelers pushed by Hanoi's Low-Emission Zone (from 1 July 2026) and data centres mandated to be ≥50% green by 2030. FirmGrid is an AI-orchestrated flexibility platform that makes the existing single-buyer grid intelligent instead of fighting it: GridMind forecasts, per neighbourhood transformer and 15-minute window, how much rooftop export is physically safe; a fair, explainable auction allocates that headroom among households; FlexMatch steers battery-swap and depot charging into the solar window (Tier 1 — Sun-to-Wheels). The same engine then aggregates orchestrated feeders and storage into firm, hour-matched 24/7 clean blocks sold to data centres via DPPA (Tier 2 — Sun-to-Servers). Beneficiaries: prosumer households, EV riders and swap operators, EVN distribution utilities, and Vietnam's digital economy.</w:t>
      </w:r>
    </w:p>
    <w:p ns2:paraId="2BAD032A" ns2:textId="77777777" w:rsidR="008346FD" w:rsidRDefault="00000000">
      <w:pPr>
        <w:pStyle w:val="Heading1"/>
        <w:keepNext/>
        <w:spacing w:before="340" w:after="150" w:line="286" w:lineRule="auto"/>
        <w:jc w:val="left"/>
      </w:pPr>
      <w:r>
        <w:rPr>
          <w:rFonts w:ascii="Arial" w:hAnsi="Arial" w:cs="Arial" w:eastAsia="Arial"/>
          <w:sz w:val="28"/>
          <w:szCs w:val="28"/>
          <w:color w:val="0B2545"/>
          <w:b/>
          <w:bCs/>
        </w:rPr>
        <w:t>2. CONTEXT AND PROBLEM STATEMENT</w:t>
      </w:r>
    </w:p>
    <w:p ns2:paraId="275F2F5C" ns2:textId="77777777" w:rsidR="008346FD" w:rsidRDefault="00000000">
      <w:pPr>
        <w:pStyle w:val="Normal"/>
        <w:spacing w:before="0" w:after="160" w:line="300" w:lineRule="auto"/>
        <w:jc w:val="left"/>
      </w:pPr>
      <w:r>
        <w:t xml:space="preserve">Vietnam built one of Asia's fastest solar booms (~18.8 GW by end-2024; PDP8 targets 46–73 GW by 2030), but generation peaks 10:00–14:00 while demand peaks 18:00–22:00, when coal — still over half of generation — carries the load. The binding constraint is local: 250–630 kVA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neighbourhood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transformers were sized for one-way flow, so on sunny late mornings EVN curtails rooftop output feeder-wide to protect equipment — blunt cuts, because operators cannot see which household could keep exporting safely. Reporting through April 2026 confirms these curtailments remain routine.</w:t>
        <w:rPr>
          <w:rFonts w:ascii="Arial" w:hAnsi="Arial" w:cs="Arial" w:eastAsia="Arial"/>
          <w:sz w:val="22"/>
          <w:szCs w:val="22"/>
          <w:color w:val="1F2937"/>
        </w:rPr>
      </w:r>
    </w:p>
    <w:p ns2:paraId="09A8B2BE" ns2:textId="77777777" w:rsidR="008346FD" w:rsidRDefault="00000000">
      <w:pPr>
        <w:pStyle w:val="Normal"/>
        <w:spacing w:before="0" w:after="160" w:line="300" w:lineRule="auto"/>
        <w:jc w:val="left"/>
      </w:pPr>
      <w:r>
        <w:t>2026 adds a collision. Hanoi's LEZ starts on 1 July 2026 and the city plans to replace ~450,000 petrol motorbikes; VinFast alone operates ~4,500 battery-swap stations (target 45,000), with Selex and Honda scaling alongside — yet nothing coordinates when this flexible load charges, so by default it charges in the coal-heavy evening (~100 GWh/yr of new demand in Hanoi alone). Data-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centre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demand nearly doubles from ~735 MW (2025) to 1,330–1,543 MW by 2030 under the data-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localisation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law, with ≥50% mandated green. And on 26 June 2026 the rooftop surplus-sale ceiling was raised from 20% to 50% — more exportable energy pressing on the same constrained transformers, with no fair way to allocate it. Two visible failures — morning waste, evening dirt — share one root cause: no intelligence layer connects distributed solar, local grid state, and flexible demand.</w:t>
        <w:rPr>
          <w:rFonts w:ascii="Arial" w:hAnsi="Arial" w:cs="Arial" w:eastAsia="Arial"/>
          <w:sz w:val="22"/>
          <w:szCs w:val="22"/>
          <w:color w:val="1F2937"/>
        </w:rPr>
      </w:r>
    </w:p>
    <w:p ns2:paraId="27DDE018" ns2:textId="77777777" w:rsidR="008346FD" w:rsidRDefault="00000000">
      <w:pPr>
        <w:pStyle w:val="Heading1"/>
        <w:keepNext/>
        <w:spacing w:before="340" w:after="150" w:line="286" w:lineRule="auto"/>
        <w:jc w:val="left"/>
      </w:pPr>
      <w:r>
        <w:rPr>
          <w:rFonts w:ascii="Arial" w:hAnsi="Arial" w:cs="Arial" w:eastAsia="Arial"/>
          <w:sz w:val="28"/>
          <w:szCs w:val="28"/>
          <w:color w:val="0B2545"/>
          <w:b/>
          <w:bCs/>
        </w:rPr>
        <w:t>3. EXISTING SOLUTIONS AND GAP ANALYSIS</w:t>
      </w:r>
    </w:p>
    <w:p ns2:paraId="05EAAD9F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EVN status quo (Decree 58/2025 buyback + manual curtailment): trusted, universal — but reactive, feeder-wide, with no per-household granularity and no demand steering.</w:t>
        <w:rPr>
          <w:rFonts w:ascii="Arial" w:hAnsi="Arial" w:cs="Arial" w:eastAsia="Arial"/>
          <w:sz w:val="22"/>
          <w:szCs w:val="22"/>
          <w:color w:val="1F2937"/>
        </w:rPr>
      </w:r>
    </w:p>
    <w:p ns2:paraId="17136962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lastRenderedPageBreak/>
        <w:t>Home batteries / residential VPPs (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sonnen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>, Tesla): proven aggregation — but tens of millions of VND per home and no Vietnamese VPP regulatory category.</w:t>
        <w:rPr>
          <w:rFonts w:ascii="Arial" w:hAnsi="Arial" w:cs="Arial" w:eastAsia="Arial"/>
          <w:sz w:val="22"/>
          <w:szCs w:val="22"/>
          <w:color w:val="1F2937"/>
        </w:rPr>
      </w:r>
    </w:p>
    <w:p ns2:paraId="5EBE860D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Blockchain P2P trading (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Powerledger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— incl. the EVN CPC pilot; LO3): proved consumer appetite and transparent records — but it is a ledger: it records trades after the fact, has no predictive congestion model, and token settlement conflicts with Vietnamese payment law.</w:t>
        <w:rPr>
          <w:rFonts w:ascii="Arial" w:hAnsi="Arial" w:cs="Arial" w:eastAsia="Arial"/>
          <w:sz w:val="22"/>
          <w:szCs w:val="22"/>
          <w:color w:val="1F2937"/>
        </w:rPr>
      </w:r>
    </w:p>
    <w:p ns2:paraId="4E299C6E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proofErr w:type="spellStart"/>
      <w:r>
        <w:t>SOLshare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(Bangladesh): world-first P2P swarm grids and our benchmark for inclusive UX — but architected for off-grid DC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nanogrids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>, not grid-tied urban feeders under a single buyer.</w:t>
        <w:rPr>
          <w:rFonts w:ascii="Arial" w:hAnsi="Arial" w:cs="Arial" w:eastAsia="Arial"/>
          <w:sz w:val="22"/>
          <w:szCs w:val="22"/>
          <w:color w:val="1F2937"/>
        </w:rPr>
      </w:r>
    </w:p>
    <w:p ns2:paraId="2D62FD88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DSO flexibility markets (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Piclo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Flex, GOPACS): the right congestion physics — but built for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liberalised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markets and professional aggregators, with no household UX.</w:t>
        <w:rPr>
          <w:rFonts w:ascii="Arial" w:hAnsi="Arial" w:cs="Arial" w:eastAsia="Arial"/>
          <w:sz w:val="22"/>
          <w:szCs w:val="22"/>
          <w:color w:val="1F2937"/>
        </w:rPr>
      </w:r>
    </w:p>
    <w:p ns2:paraId="49A50E84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Uncoordinated smart charging (static time-of-use): no link to local surplus or transformer state.</w:t>
        <w:rPr>
          <w:rFonts w:ascii="Arial" w:hAnsi="Arial" w:cs="Arial" w:eastAsia="Arial"/>
          <w:sz w:val="22"/>
          <w:szCs w:val="22"/>
          <w:color w:val="1F2937"/>
        </w:rPr>
      </w:r>
    </w:p>
    <w:p ns2:paraId="5C2ABC10" ns2:textId="77777777" w:rsidR="008346FD" w:rsidRDefault="00000000">
      <w:pPr>
        <w:pStyle w:val="Normal"/>
        <w:spacing w:before="0" w:after="160" w:line="300" w:lineRule="auto"/>
        <w:jc w:val="left"/>
      </w:pPr>
      <w:r>
        <w:t xml:space="preserve">The unresolved gap: no existing solution simultaneously (a) predicts distribution-level congestion before it happens, (b) allocates scarce export headroom fairly among ordinary households, (c) recruits mobility batteries as absorptive demand at solar noon, and (d) deploys inside Vietnam's single-buyer regulation without waiting for a new law.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FirmGrid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closes all four at once.</w:t>
        <w:rPr>
          <w:rFonts w:ascii="Arial" w:hAnsi="Arial" w:cs="Arial" w:eastAsia="Arial"/>
          <w:sz w:val="22"/>
          <w:szCs w:val="22"/>
          <w:color w:val="1F2937"/>
        </w:rPr>
      </w:r>
    </w:p>
    <w:p ns2:paraId="6E7D910B" ns2:textId="77777777" w:rsidR="008346FD" w:rsidRDefault="00000000">
      <w:pPr>
        <w:pStyle w:val="Heading1"/>
        <w:keepNext/>
        <w:spacing w:before="340" w:after="150" w:line="286" w:lineRule="auto"/>
        <w:jc w:val="left"/>
      </w:pPr>
      <w:r>
        <w:rPr>
          <w:rFonts w:ascii="Arial" w:hAnsi="Arial" w:cs="Arial" w:eastAsia="Arial"/>
          <w:sz w:val="28"/>
          <w:szCs w:val="28"/>
          <w:color w:val="0B2545"/>
          <w:b/>
          <w:bCs/>
        </w:rPr>
        <w:t>4. PROPOSED SOLUTION AND CORE FEATURES</w:t>
      </w:r>
    </w:p>
    <w:p ns2:paraId="62324E07" ns2:textId="77777777" w:rsidR="008346FD" w:rsidRDefault="00000000">
      <w:pPr>
        <w:pStyle w:val="Normal"/>
        <w:spacing w:before="0" w:after="160" w:line="300" w:lineRule="auto"/>
        <w:jc w:val="left"/>
      </w:pPr>
      <w:proofErr w:type="spellStart"/>
      <w:r>
        <w:t>FirmGrid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replaces blunt curtailment with a predicted, market-cleared, minimal allocation — and gives the surplus somewhere useful to go. Five features, all demonstrated live in the working prototype: a digital twin of a real-topology 400 kVA Hanoi feeder (30 PV homes, 25 non-PV homes, 3 C&amp;I rooftops, 2 swap stations, 1 e-taxi depot) driven by 12 months of REAL Hanoi weather (Open-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Meteo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archive, Jul 2025 – Jun 2026) at 15-minute resolution, with an animated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neighbourhood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map showing every participant's market status live:</w:t>
        <w:rPr>
          <w:rFonts w:ascii="Arial" w:hAnsi="Arial" w:cs="Arial" w:eastAsia="Arial"/>
          <w:sz w:val="22"/>
          <w:szCs w:val="22"/>
          <w:color w:val="1F2937"/>
        </w:rPr>
      </w:r>
    </w:p>
    <w:p ns2:paraId="3EE84620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F1 —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GridMind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Forecast: transformer breach probability and household surplus nowcast (gradient boosting; F1 = 0.86 on held-out days, feeder surplus MAE ≈ 2.0 kW on real weather — metrics shown on screen, honestly).</w:t>
        <w:rPr>
          <w:rFonts w:ascii="Arial" w:hAnsi="Arial" w:cs="Arial" w:eastAsia="Arial"/>
          <w:sz w:val="22"/>
          <w:szCs w:val="22"/>
          <w:color w:val="1F2937"/>
        </w:rPr>
      </w:r>
    </w:p>
    <w:p ns2:paraId="6FD6FC75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F2 —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HeadRoom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Auction: a MILP clears every 15-minute window; accepted export never exceeds 90% of forecast headroom; rejection credits guarantee bounded maximum wait (measured max on the demo day: 1 window); every outcome explained in one sentence.</w:t>
        <w:rPr>
          <w:rFonts w:ascii="Arial" w:hAnsi="Arial" w:cs="Arial" w:eastAsia="Arial"/>
          <w:sz w:val="22"/>
          <w:szCs w:val="22"/>
          <w:color w:val="1F2937"/>
        </w:rPr>
      </w:r>
    </w:p>
    <w:p ns2:paraId="25A0159B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F3 — Sun-to-Wheels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FlexMatch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>: swap stations and depots are paid to pull charging into the 10:00–14:00 window — on the demo day (a real May 2026 sunny day) this shifts ~300 kWh into the sun and recovers 97% of otherwise-curtailed energy (703 → 20 kWh wasted; 17 → 0 limit breaches).</w:t>
        <w:rPr>
          <w:rFonts w:ascii="Arial" w:hAnsi="Arial" w:cs="Arial" w:eastAsia="Arial"/>
          <w:sz w:val="22"/>
          <w:szCs w:val="22"/>
          <w:color w:val="1F2937"/>
        </w:rPr>
      </w:r>
    </w:p>
    <w:p ns2:paraId="0969B3F4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F4 — One-Switch Prosumer App (roadmap: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Zalo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Mini App): default Auto-Sell, VND-first (“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Hôm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nay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bạn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kiếm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được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12.400đ”), full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bid→meter→payment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transparency.</w:t>
        <w:rPr>
          <w:rFonts w:ascii="Arial" w:hAnsi="Arial" w:cs="Arial" w:eastAsia="Arial"/>
          <w:sz w:val="22"/>
          <w:szCs w:val="22"/>
          <w:color w:val="1F2937"/>
        </w:rPr>
      </w:r>
    </w:p>
    <w:p ns2:paraId="3729468C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F5 —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TrustLedger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+ Sentinel: SHA-256 hash-chained audit of every event; bids are hard-capped at physically possible surplus, so an inflated 15 kW bid is blocked before money moves. No cryptocurrency — audit infrastructure, not tokens.</w:t>
        <w:rPr>
          <w:rFonts w:ascii="Arial" w:hAnsi="Arial" w:cs="Arial" w:eastAsia="Arial"/>
          <w:sz w:val="22"/>
          <w:szCs w:val="22"/>
          <w:color w:val="1F2937"/>
        </w:rPr>
      </w:r>
    </w:p>
    <w:p ns2:paraId="45843776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Tier 2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Firm Block Studio: the same engine aggregates ~800 orchestrated transformers + 160 MWh storage into a 24/7 hour-matched block for a 20 MW data centre: 54% hourly CFE at a blended ~$85/MWh versus a ~$92/MWh grid tariff — the negotiation numbers of Vietnam's first firm-solar DPPA, computed live.</w:t>
      </w:r>
    </w:p>
    <w:p ns2:paraId="7C507218" ns2:textId="77777777" w:rsidR="008346FD" w:rsidRDefault="00000000">
      <w:pPr>
        <w:pStyle w:val="Heading1"/>
        <w:keepNext/>
        <w:spacing w:before="340" w:after="150" w:line="286" w:lineRule="auto"/>
        <w:jc w:val="left"/>
      </w:pPr>
      <w:r>
        <w:rPr>
          <w:rFonts w:ascii="Arial" w:hAnsi="Arial" w:cs="Arial" w:eastAsia="Arial"/>
          <w:sz w:val="28"/>
          <w:szCs w:val="28"/>
          <w:color w:val="0B2545"/>
          <w:b/>
          <w:bCs/>
        </w:rPr>
        <w:t>5. INNOVATION &amp; COMPETITIVE ADVANTAGE</w:t>
      </w:r>
    </w:p>
    <w:p ns2:paraId="353606D1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Predict-then-allocate curtailment: “headroom” becomes a forecast product, market-cleared 15–60 minutes ahead — to our knowledge no deployed system offers household-granular, fairness-constrained allocation in a single-buyer market.</w:t>
        <w:rPr>
          <w:rFonts w:ascii="Arial" w:hAnsi="Arial" w:cs="Arial" w:eastAsia="Arial"/>
          <w:sz w:val="22"/>
          <w:szCs w:val="22"/>
          <w:color w:val="1F2937"/>
        </w:rPr>
      </w:r>
    </w:p>
    <w:p ns2:paraId="74B062C1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Energy–mobility coupling at the feeder: swap networks become schedulable sinks for rooftop surplus — two national problems become each other's solution, in the launch city where both go live this quarter.</w:t>
        <w:rPr>
          <w:rFonts w:ascii="Arial" w:hAnsi="Arial" w:cs="Arial" w:eastAsia="Arial"/>
          <w:sz w:val="22"/>
          <w:szCs w:val="22"/>
          <w:color w:val="1F2937"/>
        </w:rPr>
      </w:r>
    </w:p>
    <w:p ns2:paraId="2DC9765B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Regulation-native design: households sell under Decree 58/2025 (cap 20%→50%, June 2026) with EVN as sole buyer; charging operators join as DPPA large consumers (Decree 57/2025); settlement is VND-only (Decree 52/2024). Ships without new law.</w:t>
        <w:rPr>
          <w:rFonts w:ascii="Arial" w:hAnsi="Arial" w:cs="Arial" w:eastAsia="Arial"/>
          <w:sz w:val="22"/>
          <w:szCs w:val="22"/>
          <w:color w:val="1F2937"/>
        </w:rPr>
      </w:r>
    </w:p>
    <w:p ns2:paraId="24CE5EA5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lastRenderedPageBreak/>
        <w:t xml:space="preserve">Two-tier compounding: Tier 1's data flywheel (every onboarded feeder improves the forecasts) becomes Tier 2's product — firm 24/7 blocks for data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centres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— bridging Vietnam to its 2030–2035 nuclear baseload either way: if nuclear lands,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FirmGrid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prepared the flexible grid it plugs into; if it slips,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FirmGrid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is why the digital economy stayed clean.</w:t>
        <w:rPr>
          <w:rFonts w:ascii="Arial" w:hAnsi="Arial" w:cs="Arial" w:eastAsia="Arial"/>
          <w:sz w:val="22"/>
          <w:szCs w:val="22"/>
          <w:color w:val="1F2937"/>
        </w:rPr>
      </w:r>
    </w:p>
    <w:p ns2:paraId="1C11B4C3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Feasibility &amp; development plan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Built during the hackathon: digital twin, GridMind, auction, FlexMatch, TrustLedger/Sentinel and Firm Block Studio, in a fully offline prototype with judge-in-the-loop controls (storm-front slider, fraud injection). Post-hackathon: Q3 2026 shadow pilot on one EVNHANOI feeder; Q4 2026 hardware-in-the-loop with ~20 volunteer homes via inverter-cloud APIs; H1 2027 regulatory-sandbox pilot with real money (200 households, 10 stations, EVN as counterparty); H2 2027 city scale (1,000 constrained transformers) plus the first firm-block DPPA pilot with a data centre; 2028 second city; 2029+ ASEAN (Thailand, Indonesia, the Philippines sit 3–5 years behind on the same curve). Risk honesty: if sandbox regulation lags, predictive minimal curtailment is a pure operations tool EVN can adopt unilaterally; market layers activate as regulation permits.</w:t>
      </w:r>
    </w:p>
    <w:p ns2:paraId="6E5067FE" ns2:textId="77777777" w:rsidR="008346FD" w:rsidRDefault="00000000">
      <w:pPr>
        <w:pStyle w:val="Heading1"/>
        <w:keepNext/>
        <w:spacing w:before="340" w:after="150" w:line="286" w:lineRule="auto"/>
        <w:jc w:val="left"/>
      </w:pPr>
      <w:r>
        <w:rPr>
          <w:rFonts w:ascii="Arial" w:hAnsi="Arial" w:cs="Arial" w:eastAsia="Arial"/>
          <w:sz w:val="28"/>
          <w:szCs w:val="28"/>
          <w:color w:val="0B2545"/>
          <w:b/>
          <w:bCs/>
        </w:rPr>
        <w:t>6. TARGET GROUPS &amp; POTENTIAL IMPACT</w:t>
      </w:r>
    </w:p>
    <w:p ns2:paraId="1DB25C3C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Users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prosumer households (&lt;100 kW rooftop, Decree 58/2025); swap-station and charging operators (VinFast / Selex / Honda ecosystems, e-taxi depots); EVN distribution companies (EVNHANOI first); EV riders (indirect); data centres and C&amp;I rooftops via DPPA in Tier 2.</w:t>
      </w:r>
    </w:p>
    <w:p ns2:paraId="5E891EEB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Environmental: one constrained 400 kVA transformer strands ~24 MWh/yr;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FirmGrid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recovers 60–80% → 15–19 MWh. A 1,000-transformer Hanoi rollout recovers 15–19 GWh/yr ≈ 10,000–13,000 t CO₂ (official 2024 grid factor 0.681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tCO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>₂/MWh); a 20,000-transformer national scenario ≈ 200,000–260,000 t CO₂/yr. Steering 20–30% of the LEZ's ~100 GWh/yr charging wave into the solar window avoids a further 16,000–27,000 t CO₂/yr — about 1 kg CO₂ per swap, printed on the rider's receipt.</w:t>
        <w:rPr>
          <w:rFonts w:ascii="Arial" w:hAnsi="Arial" w:cs="Arial" w:eastAsia="Arial"/>
          <w:sz w:val="22"/>
          <w:szCs w:val="22"/>
          <w:color w:val="1F2937"/>
        </w:rPr>
      </w:r>
    </w:p>
    <w:p ns2:paraId="4D741542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Economic: households earn 0.6–1.0 million VND/yr per 5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kWp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from energy that is thrown away today; stations save ~27–44 million VND/yr each by charging in the solar window; EVN defers transformer reinforcement measured in hundreds of millions of VND per site.</w:t>
        <w:rPr>
          <w:rFonts w:ascii="Arial" w:hAnsi="Arial" w:cs="Arial" w:eastAsia="Arial"/>
          <w:sz w:val="22"/>
          <w:szCs w:val="22"/>
          <w:color w:val="1F2937"/>
        </w:rPr>
      </w:r>
    </w:p>
    <w:p ns2:paraId="7960506D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Social: fairness bound guarantees small households their turn; every </w:t>
        <w:rPr>
          <w:rFonts w:ascii="Arial" w:hAnsi="Arial" w:cs="Arial" w:eastAsia="Arial"/>
          <w:sz w:val="22"/>
          <w:szCs w:val="22"/>
          <w:color w:val="1F2937"/>
        </w:rPr>
      </w:r>
      <w:proofErr w:type="gramStart"/>
      <w:r>
        <w:t>dong</w:t>
        <w:rPr>
          <w:rFonts w:ascii="Arial" w:hAnsi="Arial" w:cs="Arial" w:eastAsia="Arial"/>
          <w:sz w:val="22"/>
          <w:szCs w:val="22"/>
          <w:color w:val="1F2937"/>
        </w:rPr>
      </w:r>
      <w:proofErr w:type="gramEnd"/>
      <w:r>
        <w:t xml:space="preserve"> traceable from meter to payout; SDG 7, 9, 11, 13.</w:t>
        <w:rPr>
          <w:rFonts w:ascii="Arial" w:hAnsi="Arial" w:cs="Arial" w:eastAsia="Arial"/>
          <w:sz w:val="22"/>
          <w:szCs w:val="22"/>
          <w:color w:val="1F2937"/>
        </w:rPr>
      </w:r>
    </w:p>
    <w:p ns2:paraId="7EFA626D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Committed KPIs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curtailed-kWh avoided; % of swap energy in the solar window; median household payout; transformer peak-loading delta; fairness index; fraud precision/recall; settlement latency; Tier-2 hourly CFE score.</w:t>
      </w:r>
    </w:p>
    <w:p ns2:paraId="669EE0F6" ns2:textId="77777777" w:rsidR="008346FD" w:rsidRDefault="00000000">
      <w:pPr>
        <w:pStyle w:val="Heading1"/>
        <w:keepNext/>
        <w:spacing w:before="340" w:after="150" w:line="286" w:lineRule="auto"/>
        <w:jc w:val="left"/>
      </w:pPr>
      <w:r>
        <w:rPr>
          <w:rFonts w:ascii="Arial" w:hAnsi="Arial" w:cs="Arial" w:eastAsia="Arial"/>
          <w:sz w:val="28"/>
          <w:szCs w:val="28"/>
          <w:color w:val="0B2545"/>
          <w:b/>
          <w:bCs/>
        </w:rPr>
        <w:t>7. DESCRIPTION OF TECHNOLOGIES APPLIED</w:t>
      </w:r>
    </w:p>
    <w:p ns2:paraId="782936D3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A. Proposed technologies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Prototype (working today): Python, pandas/NumPy, scikit-learn gradient boosting, PuLP/CBC MILP auction, SHA-256 hash-chained ledger, Streamlit + Plotly dashboard; fully offline on one laptop. Scale-up roadmap: XGBoost/LSTM forecasting, OR-Tools, FastAPI, TimescaleDB, Redis Streams, MQTT, Zalo Mini App + React Native, Next.js + Mapbox operator console, optional permissioned Hyperledger Fabric, VNPay/MoMo sandbox payouts.</w:t>
      </w:r>
    </w:p>
    <w:p ns2:paraId="60292759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B. System architecture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a modular monolith in four planes (Data → Intelligence → Market → Experience) over event streams, splitting into services only under load. One 15-minute cycle: telemetry lands → GridMind publishes headroom h(t) and surplus ŝᵢ(t) → Auto-Sell agents and stations bid → MILP clears (Σ accepted ≤ 0.9·h(t), fairness bounds) → dispatch set-points → meter reconciliation → Sentinel anomaly screen → VND settlement → Merkle root sealed. Human operator override outranks every automated decision.</w:t>
      </w:r>
    </w:p>
    <w:p ns2:paraId="25D77459" ns2:textId="77777777" w:rsidR="008346FD" w:rsidRDefault="00000000">
      <w:pPr>
        <w:pStyle w:val="Normal"/>
        <w:spacing w:before="0" w:after="160" w:line="300" w:lineRule="auto"/>
        <w:jc w:val="left"/>
      </w:pPr>
      <w:r>
        <w:rPr>
          <w:rFonts w:ascii="Arial" w:hAnsi="Arial" w:cs="Arial" w:eastAsia="Arial"/>
          <w:sz w:val="22"/>
          <w:szCs w:val="22"/>
          <w:color w:val="1F2937"/>
          <w:b/>
          <w:bCs/>
        </w:rPr>
        <w:t>C. Data &amp; infrastructure</w:t>
      </w:r>
      <w:r>
        <w:rPr>
          <w:rFonts w:ascii="Arial" w:hAnsi="Arial" w:cs="Arial" w:eastAsia="Arial"/>
          <w:sz w:val="22"/>
          <w:szCs w:val="22"/>
          <w:color w:val="1F2937"/>
        </w:rPr>
        <w:t xml:space="preserve"> — Prototype: irradiance, temperature and cloud cover are REAL Hanoi data (Open-Meteo historical archive, hourly, Jul 2025 – Jun 2026, cached locally so the demo runs offline); household loads follow Vietnamese load-research shapes with air-conditioning driven by the real temperature; every assumption adjustable by judges. Pilot: EVN smart meters where deployed, inverter-cloud APIs elsewhere; partner station logs under MoU; personal data minimised, processed in-country. Infrastructure: demo = one laptop; cloud mirror ≈ US$40/month; pilot ≈ US$300–500/month.</w:t>
      </w:r>
    </w:p>
    <w:p ns2:paraId="55974D34" ns2:textId="77777777" w:rsidR="008346FD" w:rsidRDefault="00000000">
      <w:pPr>
        <w:pStyle w:val="Heading1"/>
        <w:keepNext/>
        <w:spacing w:before="340" w:after="150" w:line="286" w:lineRule="auto"/>
        <w:jc w:val="left"/>
      </w:pPr>
      <w:r>
        <w:rPr>
          <w:rFonts w:ascii="Arial" w:hAnsi="Arial" w:cs="Arial" w:eastAsia="Arial"/>
          <w:sz w:val="28"/>
          <w:szCs w:val="28"/>
          <w:color w:val="0B2545"/>
          <w:b/>
          <w:bCs/>
        </w:rPr>
        <w:t>8. REFERENCES</w:t>
      </w:r>
    </w:p>
    <w:p ns2:paraId="287999AF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lastRenderedPageBreak/>
        <w:t xml:space="preserve">Decree 58/2025/NĐ-CP (renewable energy development; rooftop surplus sale), as amended by Decree 243/2026/NĐ-CP effective 26 June 2026 (surplus-sale cap 20% → 50%); EVN Decision 429/QĐ-EVN (2025). Amendment independently confirmed by: LNT Partners, “DPPA and Power Self-Production &amp; Consumption Amendments — What's Changed” (2026); Việt Nam News, “Government raises rooftop solar excess electricity sales cap to 50 per cent”; Argus Media, “Vietnam raises grid export cap of rooftop solar to 50pc”; Nation Thailand, “Vietnam raises rooftop solar grid sales ceiling to 50 per cent”;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pv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magazine, “Vietnam proposes increase to surplus power sale from rooftop solar” (Jan 2026, draft stage).</w:t>
        <w:rPr>
          <w:rFonts w:ascii="Arial" w:hAnsi="Arial" w:cs="Arial" w:eastAsia="Arial"/>
          <w:sz w:val="22"/>
          <w:szCs w:val="22"/>
          <w:color w:val="1F2937"/>
        </w:rPr>
      </w:r>
    </w:p>
    <w:p ns2:paraId="5C09A796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Decree 57/2025/NĐ-CP on the DPPA mechanism (EV charging providers as large consumers); Decree 52/2024/NĐ-CP on non-cash payment.</w:t>
        <w:rPr>
          <w:rFonts w:ascii="Arial" w:hAnsi="Arial" w:cs="Arial" w:eastAsia="Arial"/>
          <w:sz w:val="22"/>
          <w:szCs w:val="22"/>
          <w:color w:val="1F2937"/>
        </w:rPr>
      </w:r>
    </w:p>
    <w:p ns2:paraId="796F1D99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Decision 768/QĐ-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TTg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(April 2025), revised PDP8: solar 46–73 GW and 10–16 GW battery storage by 2030.</w:t>
        <w:rPr>
          <w:rFonts w:ascii="Arial" w:hAnsi="Arial" w:cs="Arial" w:eastAsia="Arial"/>
          <w:sz w:val="22"/>
          <w:szCs w:val="22"/>
          <w:color w:val="1F2937"/>
        </w:rPr>
      </w:r>
    </w:p>
    <w:p ns2:paraId="36CF7D4E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proofErr w:type="spellStart"/>
      <w:r>
        <w:t>SolarQuarter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>, “Vietnam Faces Rooftop Solar Curtailment Amid Grid Constraints” (13 Apr 2026); Norton Rose Fulbright, Vietnam Power Sector Snapshot (2025).</w:t>
        <w:rPr>
          <w:rFonts w:ascii="Arial" w:hAnsi="Arial" w:cs="Arial" w:eastAsia="Arial"/>
          <w:sz w:val="22"/>
          <w:szCs w:val="22"/>
          <w:color w:val="1F2937"/>
        </w:rPr>
      </w:r>
    </w:p>
    <w:p ns2:paraId="5106E370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Directive 20/CT-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TTg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(2025) and Hanoi People's Council LEZ resolution (Nov 2025); F&amp;L Asia, “Hanoi to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subsidise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450,000 motorbike </w:t>
        <w:rPr>
          <w:rFonts w:ascii="Arial" w:hAnsi="Arial" w:cs="Arial" w:eastAsia="Arial"/>
          <w:sz w:val="22"/>
          <w:szCs w:val="22"/>
          <w:color w:val="1F2937"/>
        </w:rPr>
      </w:r>
      <w:proofErr w:type="gramStart"/>
      <w:r>
        <w:t>switch</w:t>
        <w:rPr>
          <w:rFonts w:ascii="Arial" w:hAnsi="Arial" w:cs="Arial" w:eastAsia="Arial"/>
          <w:sz w:val="22"/>
          <w:szCs w:val="22"/>
          <w:color w:val="1F2937"/>
        </w:rPr>
      </w:r>
      <w:proofErr w:type="gramEnd"/>
      <w:r>
        <w:t>” (2025).</w:t>
        <w:rPr>
          <w:rFonts w:ascii="Arial" w:hAnsi="Arial" w:cs="Arial" w:eastAsia="Arial"/>
          <w:sz w:val="22"/>
          <w:szCs w:val="22"/>
          <w:color w:val="1F2937"/>
        </w:rPr>
      </w:r>
    </w:p>
    <w:p ns2:paraId="1050322E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Vietnam.vn (Jan 2026): VinFast ≈4,500 swap stations, 45,000 target; Honda swap rollout from Apr 2026; Selex Motors shared-network materials.</w:t>
        <w:rPr>
          <w:rFonts w:ascii="Arial" w:hAnsi="Arial" w:cs="Arial" w:eastAsia="Arial"/>
          <w:sz w:val="22"/>
          <w:szCs w:val="22"/>
          <w:color w:val="1F2937"/>
        </w:rPr>
      </w:r>
    </w:p>
    <w:p ns2:paraId="6FA1D72A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Ministry of Agriculture and Environment: official 2024 grid emission factor 0.681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tCO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>₂/MWh.</w:t>
        <w:rPr>
          <w:rFonts w:ascii="Arial" w:hAnsi="Arial" w:cs="Arial" w:eastAsia="Arial"/>
          <w:sz w:val="22"/>
          <w:szCs w:val="22"/>
          <w:color w:val="1F2937"/>
        </w:rPr>
      </w:r>
    </w:p>
    <w:p ns2:paraId="2EC858E6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IRENA (2025): firm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solar+storage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at USD 54–82/MWh in prime regions.</w:t>
        <w:rPr>
          <w:rFonts w:ascii="Arial" w:hAnsi="Arial" w:cs="Arial" w:eastAsia="Arial"/>
          <w:sz w:val="22"/>
          <w:szCs w:val="22"/>
          <w:color w:val="1F2937"/>
        </w:rPr>
      </w:r>
    </w:p>
    <w:p ns2:paraId="570745F2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>Data-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centre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market: ~735 MW (2025) → 1,330–1,543 MW (2030) demand forecasts (Mordor Intelligence &amp; industry reporting); Decision 2161 and the Jan-2026 data-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localisation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law.</w:t>
        <w:rPr>
          <w:rFonts w:ascii="Arial" w:hAnsi="Arial" w:cs="Arial" w:eastAsia="Arial"/>
          <w:sz w:val="22"/>
          <w:szCs w:val="22"/>
          <w:color w:val="1F2937"/>
        </w:rPr>
      </w:r>
    </w:p>
    <w:p ns2:paraId="4D133F50" ns2:textId="77777777" w:rsidR="008346FD" w:rsidRDefault="00000000">
      <w:pPr>
        <w:pStyle w:val="ListBullet"/>
        <w:spacing w:before="0" w:after="120" w:line="290" w:lineRule="auto"/>
        <w:ind w:left="620" w:hanging="300"/>
        <w:jc w:val="left"/>
      </w:pPr>
      <w:r>
        <w:t xml:space="preserve">UNFCCC on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SOLshare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;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Powerledger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 project materials (incl. EVN CPC pilot); Thurner et al.,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pandapower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, IEEE TPS (2018); Chen &amp;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Guestrin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 xml:space="preserve">, </w:t>
        <w:rPr>
          <w:rFonts w:ascii="Arial" w:hAnsi="Arial" w:cs="Arial" w:eastAsia="Arial"/>
          <w:sz w:val="22"/>
          <w:szCs w:val="22"/>
          <w:color w:val="1F2937"/>
        </w:rPr>
      </w:r>
      <w:proofErr w:type="spellStart"/>
      <w:r>
        <w:t>XGBoost</w:t>
        <w:rPr>
          <w:rFonts w:ascii="Arial" w:hAnsi="Arial" w:cs="Arial" w:eastAsia="Arial"/>
          <w:sz w:val="22"/>
          <w:szCs w:val="22"/>
          <w:color w:val="1F2937"/>
        </w:rPr>
      </w:r>
      <w:proofErr w:type="spellEnd"/>
      <w:r>
        <w:t>, KDD (2016).</w:t>
        <w:rPr>
          <w:rFonts w:ascii="Arial" w:hAnsi="Arial" w:cs="Arial" w:eastAsia="Arial"/>
          <w:sz w:val="22"/>
          <w:szCs w:val="22"/>
          <w:color w:val="1F2937"/>
        </w:rPr>
      </w:r>
    </w:p>
    <w:sectPr w:rsidR="008346F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823845">
    <w:abstractNumId w:val="8"/>
  </w:num>
  <w:num w:numId="2" w16cid:durableId="1560481165">
    <w:abstractNumId w:val="6"/>
  </w:num>
  <w:num w:numId="3" w16cid:durableId="895629974">
    <w:abstractNumId w:val="5"/>
  </w:num>
  <w:num w:numId="4" w16cid:durableId="123081835">
    <w:abstractNumId w:val="4"/>
  </w:num>
  <w:num w:numId="5" w16cid:durableId="107287162">
    <w:abstractNumId w:val="7"/>
  </w:num>
  <w:num w:numId="6" w16cid:durableId="2122414723">
    <w:abstractNumId w:val="3"/>
  </w:num>
  <w:num w:numId="7" w16cid:durableId="74516170">
    <w:abstractNumId w:val="2"/>
  </w:num>
  <w:num w:numId="8" w16cid:durableId="1418138132">
    <w:abstractNumId w:val="1"/>
  </w:num>
  <w:num w:numId="9" w16cid:durableId="8487636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585"/>
    <w:rsid w:val="0029639D"/>
    <w:rsid w:val="00326F90"/>
    <w:rsid w:val="003A3E89"/>
    <w:rsid w:val="005A7B46"/>
    <w:rsid w:val="008346FD"/>
    <w:rsid w:val="00964AB9"/>
    <w:rsid w:val="00AA1D8D"/>
    <w:rsid w:val="00B47730"/>
    <w:rsid w:val="00CB0664"/>
    <w:rsid w:val="00F74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470DD0"/>
  <w14:defaultImageDpi w14:val="300"/>
  <w15:docId w15:val="{683B7181-CF07-C343-8AB3-DFA1C638DF21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 w16sdtfl w16du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160" w:line="300" w:lineRule="auto"/>
      <w:jc w:val="left"/>
    </w:pPr>
    <w:rPr>
      <w:rFonts w:ascii="Arial" w:hAnsi="Arial" w:cs="Arial" w:eastAsia="Arial"/>
      <w:sz w:val="22"/>
      <w:szCs w:val="22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340" w:after="150" w:line="286" w:lineRule="auto"/>
      <w:jc w:val="left"/>
    </w:pPr>
    <w:rPr>
      <w:rFonts w:ascii="Arial" w:hAnsi="Arial" w:cs="Arial" w:eastAsia="Arial"/>
      <w:sz w:val="28"/>
      <w:szCs w:val="28"/>
      <w:color w:val="0B2545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220" w:after="100" w:line="286" w:lineRule="auto"/>
      <w:jc w:val="left"/>
    </w:pPr>
    <w:rPr>
      <w:rFonts w:ascii="Arial" w:hAnsi="Arial" w:cs="Arial" w:eastAsia="Arial"/>
      <w:sz w:val="24"/>
      <w:szCs w:val="24"/>
      <w:color w:val="2E74B5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  <w:spacing w:before="160" w:after="80" w:line="286" w:lineRule="auto"/>
      <w:jc w:val="left"/>
    </w:pPr>
    <w:rPr>
      <w:rFonts w:ascii="Arial" w:hAnsi="Arial" w:cs="Arial" w:eastAsia="Arial"/>
      <w:sz w:val="22"/>
      <w:szCs w:val="22"/>
      <w:color w:val="1F4D78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  <w:spacing w:before="0" w:after="110" w:line="276" w:lineRule="auto"/>
      <w:jc w:val="center"/>
    </w:pPr>
    <w:rPr>
      <w:spacing w:val="5"/>
      <w:kern w:val="28"/>
      <w:rFonts w:ascii="Arial" w:hAnsi="Arial" w:cs="Arial" w:eastAsia="Arial"/>
      <w:sz w:val="32"/>
      <w:szCs w:val="32"/>
      <w:color w:val="0B2545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80" w:line="286" w:lineRule="auto"/>
      <w:jc w:val="center"/>
    </w:pPr>
    <w:rPr>
      <w:spacing w:val="15"/>
      <w:rFonts w:ascii="Arial" w:hAnsi="Arial" w:cs="Arial" w:eastAsia="Arial"/>
      <w:sz w:val="22"/>
      <w:szCs w:val="22"/>
      <w:color w:val="475569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contextualSpacing/>
      <w:spacing w:before="0" w:after="120" w:line="290" w:lineRule="auto"/>
      <w:jc w:val="left"/>
      <w:ind w:left="620" w:hanging="300"/>
    </w:pPr>
    <w:rPr>
      <w:rFonts w:ascii="Arial" w:hAnsi="Arial" w:cs="Arial" w:eastAsia="Arial"/>
      <w:sz w:val="22"/>
      <w:szCs w:val="22"/>
      <w:color w:val="1F293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60" w:line="300" w:lineRule="auto"/>
      <w:jc w:val="left"/>
    </w:pPr>
    <w:rPr>
      <w:rFonts w:ascii="Arial" w:hAnsi="Arial" w:cs="Arial" w:eastAsia="Arial"/>
      <w:sz w:val="22"/>
      <w:szCs w:val="22"/>
      <w:color w:val="1F293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120" w:line="290" w:lineRule="auto"/>
      <w:jc w:val="left"/>
      <w:ind w:left="620" w:hanging="300"/>
    </w:pPr>
    <w:rPr>
      <w:rFonts w:ascii="Arial" w:hAnsi="Arial" w:cs="Arial" w:eastAsia="Arial"/>
      <w:sz w:val="22"/>
      <w:szCs w:val="22"/>
      <w:color w:val="1F293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2017</Words>
  <Characters>11500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Quoc Dang (S.CECS)</cp:lastModifiedBy>
  <cp:revision>3</cp:revision>
  <dcterms:created xsi:type="dcterms:W3CDTF">2013-12-23T23:15:00Z</dcterms:created>
  <dcterms:modified xsi:type="dcterms:W3CDTF">2026-07-03T23:57:00Z</dcterms:modified>
  <cp:category/>
</cp:coreProperties>
</file>