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0B6E4F"/>
          <w:sz w:val="72"/>
          <w:szCs w:val="72"/>
        </w:rPr>
        <w:t xml:space="preserve">SOLARFLOW</w:t>
      </w:r>
    </w:p>
    <w:p>
      <w:pPr>
        <w:spacing w:after="300"/>
        <w:jc w:val="center"/>
      </w:pPr>
      <w:r>
        <w:rPr>
          <w:b/>
          <w:bCs/>
          <w:color w:val="B4690E"/>
          <w:sz w:val="40"/>
          <w:szCs w:val="40"/>
        </w:rPr>
        <w:t xml:space="preserve">Sun-to-Wheels</w:t>
      </w:r>
    </w:p>
    <w:p>
      <w:pPr>
        <w:spacing w:after="500"/>
        <w:jc w:val="center"/>
      </w:pPr>
      <w:r>
        <w:rPr>
          <w:i/>
          <w:iCs/>
          <w:color w:val="1A1A1A"/>
          <w:sz w:val="28"/>
          <w:szCs w:val="28"/>
        </w:rPr>
        <w:t xml:space="preserve">An AI-orchestrated local flexibility market that turns Vietnam's wasted midday solar into clean evening mobility</w:t>
      </w:r>
    </w:p>
    <w:p>
      <w:pPr>
        <w:spacing w:after="120"/>
        <w:jc w:val="center"/>
      </w:pPr>
      <w:r>
        <w:rPr>
          <w:b/>
          <w:bCs/>
          <w:color w:val="1A1A1A"/>
          <w:sz w:val="26"/>
          <w:szCs w:val="26"/>
        </w:rPr>
        <w:t xml:space="preserve">Asian Hackathon for Green Future 2026</w:t>
      </w:r>
    </w:p>
    <w:p>
      <w:pPr>
        <w:spacing w:after="120"/>
        <w:jc w:val="center"/>
      </w:pPr>
      <w:r>
        <w:rPr>
          <w:color w:val="555555"/>
          <w:sz w:val="24"/>
          <w:szCs w:val="24"/>
        </w:rPr>
        <w:t xml:space="preserve">Track: Renewable Energy &amp; Low-Carbon Mobility</w:t>
      </w:r>
    </w:p>
    <w:p>
      <w:pPr>
        <w:spacing w:after="700"/>
        <w:jc w:val="center"/>
      </w:pPr>
      <w:r>
        <w:rPr>
          <w:color w:val="555555"/>
          <w:sz w:val="24"/>
          <w:szCs w:val="24"/>
        </w:rPr>
        <w:t xml:space="preserve">Final Round Project Proposal  |  Hanoi, July 2026</w:t>
      </w:r>
    </w:p>
    <w:p>
      <w:pPr>
        <w:spacing w:after="120"/>
        <w:jc w:val="center"/>
      </w:pPr>
      <w:r>
        <w:rPr>
          <w:i/>
          <w:iCs/>
          <w:color w:val="0B6E4F"/>
          <w:sz w:val="22"/>
          <w:szCs w:val="22"/>
        </w:rPr>
        <w:t xml:space="preserve">One platform, two problems solved: clean energy is no longer thrown away at noon,</w:t>
      </w:r>
    </w:p>
    <w:p>
      <w:pPr>
        <w:jc w:val="center"/>
      </w:pPr>
      <w:r>
        <w:rPr>
          <w:i/>
          <w:iCs/>
          <w:color w:val="0B6E4F"/>
          <w:sz w:val="22"/>
          <w:szCs w:val="22"/>
        </w:rPr>
        <w:t xml:space="preserve">and electric vehicles no longer charge on coal at night.</w:t>
      </w:r>
    </w:p>
    <w:p>
      <w:r>
        <w:br w:type="page"/>
      </w:r>
    </w:p>
    <w:p>
      <w:pPr>
        <w:pStyle w:val="Heading1"/>
        <w:spacing w:after="160" w:before="320"/>
      </w:pPr>
      <w:r>
        <w:rPr>
          <w:b/>
          <w:bCs/>
          <w:color w:val="0B6E4F"/>
          <w:sz w:val="30"/>
          <w:szCs w:val="30"/>
        </w:rPr>
        <w:t xml:space="preserve">1.  PROJECT OVERVIEW &amp; EXECUTIVE SUMMARY</w:t>
      </w:r>
    </w:p>
    <w:p>
      <w:pPr>
        <w:spacing w:after="140" w:before="0" w:line="276"/>
        <w:jc w:val="both"/>
      </w:pPr>
      <w:r>
        <w:rPr>
          <w:b w:val="false"/>
          <w:bCs w:val="false"/>
          <w:i w:val="false"/>
          <w:iCs w:val="false"/>
          <w:color w:val="1A1A1A"/>
          <w:sz w:val="22"/>
          <w:szCs w:val="22"/>
        </w:rPr>
        <w:t xml:space="preserve">Vietnam wastes clean electricity at noon and burns coal at night. From </w:t>
      </w:r>
      <w:r>
        <w:rPr>
          <w:b/>
          <w:bCs/>
          <w:i w:val="false"/>
          <w:iCs w:val="false"/>
          <w:color w:val="1A1A1A"/>
          <w:sz w:val="22"/>
          <w:szCs w:val="22"/>
        </w:rPr>
        <w:t xml:space="preserve">1 July 2026</w:t>
      </w:r>
      <w:r>
        <w:rPr>
          <w:b w:val="false"/>
          <w:bCs w:val="false"/>
          <w:i w:val="false"/>
          <w:iCs w:val="false"/>
          <w:color w:val="1A1A1A"/>
          <w:sz w:val="22"/>
          <w:szCs w:val="22"/>
        </w:rPr>
        <w:t xml:space="preserve">, Hanoi's new Low-Emission Zone (LEZ) begins pushing hundreds of thousands of petrol motorbikes off the road — and, by default, the electric two-wheelers replacing them will charge in the evening, on a grid that is still majority coal. Vietnam is therefore about to power its clean vehicles with dirty electricity while throwing away clean electricity a few hours earlier. </w:t>
      </w:r>
      <w:r>
        <w:rPr>
          <w:b/>
          <w:bCs/>
          <w:i w:val="false"/>
          <w:iCs w:val="false"/>
          <w:color w:val="1A1A1A"/>
          <w:sz w:val="22"/>
          <w:szCs w:val="22"/>
        </w:rPr>
        <w:t xml:space="preserve">SolarFlow closes both loops with a single platform.</w:t>
      </w:r>
    </w:p>
    <w:p>
      <w:pPr>
        <w:spacing w:after="140" w:before="0" w:line="276"/>
        <w:jc w:val="both"/>
      </w:pPr>
      <w:r>
        <w:rPr>
          <w:b w:val="false"/>
          <w:bCs w:val="false"/>
          <w:i w:val="false"/>
          <w:iCs w:val="false"/>
          <w:color w:val="1A1A1A"/>
          <w:sz w:val="22"/>
          <w:szCs w:val="22"/>
        </w:rPr>
        <w:t xml:space="preserve">SolarFlow is an AI-orchestrated </w:t>
      </w:r>
      <w:r>
        <w:rPr>
          <w:b/>
          <w:bCs/>
          <w:i w:val="false"/>
          <w:iCs w:val="false"/>
          <w:color w:val="1A1A1A"/>
          <w:sz w:val="22"/>
          <w:szCs w:val="22"/>
        </w:rPr>
        <w:t xml:space="preserve">local grid-flexibility market</w:t>
      </w:r>
      <w:r>
        <w:rPr>
          <w:b w:val="false"/>
          <w:bCs w:val="false"/>
          <w:i w:val="false"/>
          <w:iCs w:val="false"/>
          <w:color w:val="1A1A1A"/>
          <w:sz w:val="22"/>
          <w:szCs w:val="22"/>
        </w:rPr>
        <w:t xml:space="preserve"> built for Vietnam's real regulations. It operates as two coordinated layers. </w:t>
      </w:r>
      <w:r>
        <w:rPr>
          <w:b/>
          <w:bCs/>
          <w:i w:val="false"/>
          <w:iCs w:val="false"/>
          <w:color w:val="1A1A1A"/>
          <w:sz w:val="22"/>
          <w:szCs w:val="22"/>
        </w:rPr>
        <w:t xml:space="preserve">GridMind (intelligence)</w:t>
      </w:r>
      <w:r>
        <w:rPr>
          <w:b w:val="false"/>
          <w:bCs w:val="false"/>
          <w:i w:val="false"/>
          <w:iCs w:val="false"/>
          <w:color w:val="1A1A1A"/>
          <w:sz w:val="22"/>
          <w:szCs w:val="22"/>
        </w:rPr>
        <w:t xml:space="preserve"> predicts, 15 minutes to 24 hours ahead, how much reverse-flow “headroom” each neighbourhood transformer can safely accept, forecasts every household's genuine rooftop-solar surplus, and allocates that scarce headroom through a fair, explainable, multi-objective auction — replacing today's blunt feeder-wide curtailment with surgical, minimal, market-cleared curtailment. </w:t>
      </w:r>
      <w:r>
        <w:rPr>
          <w:b/>
          <w:bCs/>
          <w:i w:val="false"/>
          <w:iCs w:val="false"/>
          <w:color w:val="1A1A1A"/>
          <w:sz w:val="22"/>
          <w:szCs w:val="22"/>
        </w:rPr>
        <w:t xml:space="preserve">FlowMarket (matching &amp; settlement)</w:t>
      </w:r>
      <w:r>
        <w:rPr>
          <w:b w:val="false"/>
          <w:bCs w:val="false"/>
          <w:i w:val="false"/>
          <w:iCs w:val="false"/>
          <w:color w:val="1A1A1A"/>
          <w:sz w:val="22"/>
          <w:szCs w:val="22"/>
        </w:rPr>
        <w:t xml:space="preserve"> then routes the accepted surplus to flexible demand sitting on the same feeder — electric-motorbike battery-swap stations, e-taxi depots, and pre-cooling businesses — verifies actual delivery against smart-meter data, pays households in Vietnamese dong through banks and licensed e-wallets, and seals every transaction in a tamper-evident audit ledger.</w:t>
      </w:r>
    </w:p>
    <w:p>
      <w:pPr>
        <w:spacing w:after="140" w:before="0" w:line="276"/>
        <w:jc w:val="both"/>
      </w:pPr>
      <w:r>
        <w:rPr>
          <w:b w:val="false"/>
          <w:bCs w:val="false"/>
          <w:i w:val="false"/>
          <w:iCs w:val="false"/>
          <w:color w:val="1A1A1A"/>
          <w:sz w:val="22"/>
          <w:szCs w:val="22"/>
        </w:rPr>
        <w:t xml:space="preserve">The design is deliberately </w:t>
      </w:r>
      <w:r>
        <w:rPr>
          <w:b/>
          <w:bCs/>
          <w:i w:val="false"/>
          <w:iCs w:val="false"/>
          <w:color w:val="1A1A1A"/>
          <w:sz w:val="22"/>
          <w:szCs w:val="22"/>
        </w:rPr>
        <w:t xml:space="preserve">legal on day one</w:t>
      </w:r>
      <w:r>
        <w:rPr>
          <w:b w:val="false"/>
          <w:bCs w:val="false"/>
          <w:i w:val="false"/>
          <w:iCs w:val="false"/>
          <w:color w:val="1A1A1A"/>
          <w:sz w:val="22"/>
          <w:szCs w:val="22"/>
        </w:rPr>
        <w:t xml:space="preserve">: households sell surplus within the framework of Decree 58/2025/ND-CP and EVN's Decision 429/QD-EVN, with EVN remaining the single buyer; battery-swap and charging operators — now recognised as large electricity consumers under the DPPA Decree 57/2025/ND-CP — form the demand side; and settlement uses VND rails only, because crypto tokens are not a legal means of payment in Vietnam. SolarFlow does not fight the single-buyer system. It makes the single-buyer system intelligent.</w:t>
      </w:r>
    </w:p>
    <w:p>
      <w:pPr>
        <w:spacing w:after="140" w:before="0" w:line="276"/>
        <w:jc w:val="both"/>
      </w:pPr>
      <w:r>
        <w:rPr>
          <w:b w:val="false"/>
          <w:bCs w:val="false"/>
          <w:i w:val="false"/>
          <w:iCs w:val="false"/>
          <w:color w:val="1A1A1A"/>
          <w:sz w:val="22"/>
          <w:szCs w:val="22"/>
        </w:rPr>
        <w:t xml:space="preserve">Quantified conservatively, one constrained 400 kVA transformer recovers </w:t>
      </w:r>
      <w:r>
        <w:rPr>
          <w:b/>
          <w:bCs/>
          <w:i w:val="false"/>
          <w:iCs w:val="false"/>
          <w:color w:val="1A1A1A"/>
          <w:sz w:val="22"/>
          <w:szCs w:val="22"/>
        </w:rPr>
        <w:t xml:space="preserve">15–19 MWh of otherwise-curtailed clean energy per year</w:t>
      </w:r>
      <w:r>
        <w:rPr>
          <w:b w:val="false"/>
          <w:bCs w:val="false"/>
          <w:i w:val="false"/>
          <w:iCs w:val="false"/>
          <w:color w:val="1A1A1A"/>
          <w:sz w:val="22"/>
          <w:szCs w:val="22"/>
        </w:rPr>
        <w:t xml:space="preserve">; a 1,000-transformer Hanoi rollout recovers </w:t>
      </w:r>
      <w:r>
        <w:rPr>
          <w:b/>
          <w:bCs/>
          <w:i w:val="false"/>
          <w:iCs w:val="false"/>
          <w:color w:val="1A1A1A"/>
          <w:sz w:val="22"/>
          <w:szCs w:val="22"/>
        </w:rPr>
        <w:t xml:space="preserve">15–19 GWh/year (≈ 10,000–12,500 tonnes CO₂)</w:t>
      </w:r>
      <w:r>
        <w:rPr>
          <w:b w:val="false"/>
          <w:bCs w:val="false"/>
          <w:i w:val="false"/>
          <w:iCs w:val="false"/>
          <w:color w:val="1A1A1A"/>
          <w:sz w:val="22"/>
          <w:szCs w:val="22"/>
        </w:rPr>
        <w:t xml:space="preserve">; and every swap battery charged in the solar window instead of the evening peak avoids roughly 1 kg of CO₂ per swap. The entire stack is open source, requires no new household hardware, and will be demonstrated live at the Final Round on a physics-based digital twin of a real Hanoi neighbourhood — with judges invited to break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B6E4F" w:sz="8"/>
              <w:left w:val="single" w:color="0B6E4F" w:sz="16"/>
              <w:bottom w:val="single" w:color="0B6E4F" w:sz="8"/>
              <w:right w:val="single" w:color="0B6E4F" w:sz="8"/>
            </w:tcBorders>
            <w:shd w:fill="E7F4EE" w:val="clear"/>
            <w:tcMar>
              <w:top w:type="dxa" w:w="120"/>
              <w:left w:type="dxa" w:w="160"/>
              <w:bottom w:type="dxa" w:w="120"/>
              <w:right w:type="dxa" w:w="160"/>
            </w:tcMar>
          </w:tcPr>
          <w:p>
            <w:pPr>
              <w:spacing w:line="264"/>
              <w:jc w:val="both"/>
            </w:pPr>
            <w:r>
              <w:rPr>
                <w:b/>
                <w:bCs/>
                <w:i w:val="false"/>
                <w:iCs w:val="false"/>
                <w:color w:val="0B6E4F"/>
                <w:sz w:val="22"/>
                <w:szCs w:val="22"/>
              </w:rPr>
              <w:t xml:space="preserve">The one-sentence pitch: </w:t>
            </w:r>
            <w:r>
              <w:rPr>
                <w:b w:val="false"/>
                <w:bCs w:val="false"/>
                <w:i w:val="false"/>
                <w:iCs w:val="false"/>
                <w:color w:val="1A1A1A"/>
                <w:sz w:val="22"/>
                <w:szCs w:val="22"/>
              </w:rPr>
              <w:t xml:space="preserve">SolarFlow lets a rooftop in Tay Ho charge the Grab driver's battery at noon — so the sunshine wasted this morning becomes the clean ride home tonight.</w:t>
            </w:r>
          </w:p>
        </w:tc>
      </w:tr>
    </w:tbl>
    <w:p>
      <w:r>
        <w:br w:type="page"/>
      </w:r>
    </w:p>
    <w:p>
      <w:pPr>
        <w:pStyle w:val="Heading1"/>
        <w:spacing w:after="160" w:before="320"/>
      </w:pPr>
      <w:r>
        <w:rPr>
          <w:b/>
          <w:bCs/>
          <w:color w:val="0B6E4F"/>
          <w:sz w:val="30"/>
          <w:szCs w:val="30"/>
        </w:rPr>
        <w:t xml:space="preserve">2.  CONTEXT AND PROBLEM STATEMENT</w:t>
      </w:r>
    </w:p>
    <w:p>
      <w:pPr>
        <w:pStyle w:val="Heading2"/>
        <w:spacing w:after="120" w:before="220"/>
      </w:pPr>
      <w:r>
        <w:rPr>
          <w:b/>
          <w:bCs/>
          <w:color w:val="1A1A1A"/>
          <w:sz w:val="25"/>
          <w:szCs w:val="25"/>
        </w:rPr>
        <w:t xml:space="preserve">2.1  Context — where and under what conditions the problem arises</w:t>
      </w:r>
    </w:p>
    <w:p>
      <w:pPr>
        <w:spacing w:after="140" w:before="0" w:line="276"/>
        <w:jc w:val="both"/>
      </w:pPr>
      <w:r>
        <w:rPr>
          <w:b/>
          <w:bCs/>
          <w:i w:val="false"/>
          <w:iCs w:val="false"/>
          <w:color w:val="1A1A1A"/>
          <w:sz w:val="22"/>
          <w:szCs w:val="22"/>
        </w:rPr>
        <w:t xml:space="preserve">A solar fleet the grid cannot digest. </w:t>
      </w:r>
      <w:r>
        <w:rPr>
          <w:b w:val="false"/>
          <w:bCs w:val="false"/>
          <w:i w:val="false"/>
          <w:iCs w:val="false"/>
          <w:color w:val="1A1A1A"/>
          <w:sz w:val="22"/>
          <w:szCs w:val="22"/>
        </w:rPr>
        <w:t xml:space="preserve">Vietnam built one of Asia's fastest solar booms: by the end of 2024 the country had roughly 18.8 GW of ground-mounted and rooftop solar in operation, and the revised Power Development Plan VIII (Decision 768/QD-TTg, April 2025) targets 46–73 GW of solar by 2030. Generation, however, peaks between 10:00 and 14:00, while residential demand peaks between 18:00 and 22:00 — hours in which solar contributes nothing and coal, still over half of national generation, carries the load.</w:t>
      </w:r>
    </w:p>
    <w:p>
      <w:pPr>
        <w:spacing w:after="140" w:before="0" w:line="276"/>
        <w:jc w:val="both"/>
      </w:pPr>
      <w:r>
        <w:rPr>
          <w:b/>
          <w:bCs/>
          <w:i w:val="false"/>
          <w:iCs w:val="false"/>
          <w:color w:val="1A1A1A"/>
          <w:sz w:val="22"/>
          <w:szCs w:val="22"/>
        </w:rPr>
        <w:t xml:space="preserve">The bottleneck is local, not national. </w:t>
      </w:r>
      <w:r>
        <w:rPr>
          <w:b w:val="false"/>
          <w:bCs w:val="false"/>
          <w:i w:val="false"/>
          <w:iCs w:val="false"/>
          <w:color w:val="1A1A1A"/>
          <w:sz w:val="22"/>
          <w:szCs w:val="22"/>
        </w:rPr>
        <w:t xml:space="preserve">The binding constraint is the distribution layer: 250–630 kVA neighbourhood transformers and 22 kV feeders were sized for one-way flow. On sunny late mornings — and especially weekends and holidays, when factories rest but rooftops do not — reverse flow approaches thermal and voltage limits, and EVN and the National Load Dispatch Center curtail rooftop output to protect equipment. Reporting through 2026 confirms these curtailment measures remain routine. The cuts are blunt by necessity: operators cannot see which specific household could keep exporting safely, so entire feeders are reduced together.</w:t>
      </w:r>
    </w:p>
    <w:p>
      <w:pPr>
        <w:spacing w:after="140" w:before="0" w:line="276"/>
        <w:jc w:val="both"/>
      </w:pPr>
      <w:r>
        <w:rPr>
          <w:b/>
          <w:bCs/>
          <w:i w:val="false"/>
          <w:iCs w:val="false"/>
          <w:color w:val="1A1A1A"/>
          <w:sz w:val="22"/>
          <w:szCs w:val="22"/>
        </w:rPr>
        <w:t xml:space="preserve">2026 adds a second, colliding transition. </w:t>
      </w:r>
      <w:r>
        <w:rPr>
          <w:b w:val="false"/>
          <w:bCs w:val="false"/>
          <w:i w:val="false"/>
          <w:iCs w:val="false"/>
          <w:color w:val="1A1A1A"/>
          <w:sz w:val="22"/>
          <w:szCs w:val="22"/>
        </w:rPr>
        <w:t xml:space="preserve">Under Directive 20/CT-TTg and Hanoi's Low-Emission Zone resolution, a pilot LEZ starts in the Hoan Kiem core on 1 July 2026, expands across Ring Road 1 by 2028 and toward Ring Road 3 by 2030. Petrol ride-hailing and delivery motorbikes are restricted inside the zone; all new taxis must be electric from July 2026; the city is preparing subsidies to replace about 450,000 petrol motorbikes. The charging infrastructure is racing ahead — VinFast alone operates roughly 4,500 battery-swap stations nationwide with a stated target of 45,000, alongside the Selex Motors shared swap network (serving Grab, Lazada Logistics, DHL and Viettel Post fleets) and Honda's swap points rolling out from April 2026. Yet nothing coordinates </w:t>
      </w:r>
      <w:r>
        <w:rPr>
          <w:b/>
          <w:bCs/>
          <w:i w:val="false"/>
          <w:iCs w:val="false"/>
          <w:color w:val="1A1A1A"/>
          <w:sz w:val="22"/>
          <w:szCs w:val="22"/>
        </w:rPr>
        <w:t xml:space="preserve">when</w:t>
      </w:r>
      <w:r>
        <w:rPr>
          <w:b w:val="false"/>
          <w:bCs w:val="false"/>
          <w:i w:val="false"/>
          <w:iCs w:val="false"/>
          <w:color w:val="1A1A1A"/>
          <w:sz w:val="22"/>
          <w:szCs w:val="22"/>
        </w:rPr>
        <w:t xml:space="preserve"> this fast-growing flexible load charges. Left alone, it will charge in the evening — on coal.</w:t>
      </w:r>
    </w:p>
    <w:p>
      <w:pPr>
        <w:pStyle w:val="Heading2"/>
        <w:spacing w:after="120" w:before="220"/>
      </w:pPr>
      <w:r>
        <w:rPr>
          <w:b/>
          <w:bCs/>
          <w:color w:val="1A1A1A"/>
          <w:sz w:val="25"/>
          <w:szCs w:val="25"/>
        </w:rPr>
        <w:t xml:space="preserve">2.2  The specific problem</w:t>
      </w:r>
    </w:p>
    <w:p>
      <w:pPr>
        <w:spacing w:after="140" w:before="0" w:line="276"/>
        <w:jc w:val="both"/>
      </w:pPr>
      <w:r>
        <w:rPr>
          <w:b w:val="false"/>
          <w:bCs w:val="false"/>
          <w:i w:val="false"/>
          <w:iCs w:val="false"/>
          <w:color w:val="1A1A1A"/>
          <w:sz w:val="22"/>
          <w:szCs w:val="22"/>
        </w:rPr>
        <w:t xml:space="preserve">Two visible failures share one invisible root cause: </w:t>
      </w:r>
      <w:r>
        <w:rPr>
          <w:b/>
          <w:bCs/>
          <w:i w:val="false"/>
          <w:iCs w:val="false"/>
          <w:color w:val="1A1A1A"/>
          <w:sz w:val="22"/>
          <w:szCs w:val="22"/>
        </w:rPr>
        <w:t xml:space="preserve">there is no intelligence layer connecting distributed solar, the local grid, and flexible demand.</w:t>
      </w:r>
    </w:p>
    <w:p>
      <w:pPr>
        <w:pStyle w:val="ListParagraph"/>
        <w:numPr>
          <w:ilvl w:val="0"/>
          <w:numId w:val="2"/>
        </w:numPr>
        <w:spacing w:after="90" w:line="264"/>
        <w:jc w:val="both"/>
      </w:pPr>
      <w:r>
        <w:rPr>
          <w:b/>
          <w:bCs/>
          <w:i w:val="false"/>
          <w:iCs w:val="false"/>
          <w:color w:val="1A1A1A"/>
          <w:sz w:val="22"/>
          <w:szCs w:val="22"/>
        </w:rPr>
        <w:t xml:space="preserve">P1 — Morning waste (energy). </w:t>
      </w:r>
      <w:r>
        <w:rPr>
          <w:b w:val="false"/>
          <w:bCs w:val="false"/>
          <w:i w:val="false"/>
          <w:iCs w:val="false"/>
          <w:color w:val="1A1A1A"/>
          <w:sz w:val="22"/>
          <w:szCs w:val="22"/>
        </w:rPr>
        <w:t xml:space="preserve">Surplus rooftop energy is curtailed feeder-wide because no system predicts, per transformer and per quarter-hour, how much export is safe and which households genuinely have surplus to give. Weather, transformer loading, generation and consumption data all exist — in disconnected silos.</w:t>
      </w:r>
    </w:p>
    <w:p>
      <w:pPr>
        <w:pStyle w:val="ListParagraph"/>
        <w:numPr>
          <w:ilvl w:val="0"/>
          <w:numId w:val="2"/>
        </w:numPr>
        <w:spacing w:after="90" w:line="264"/>
        <w:jc w:val="both"/>
      </w:pPr>
      <w:r>
        <w:rPr>
          <w:b/>
          <w:bCs/>
          <w:i w:val="false"/>
          <w:iCs w:val="false"/>
          <w:color w:val="1A1A1A"/>
          <w:sz w:val="22"/>
          <w:szCs w:val="22"/>
        </w:rPr>
        <w:t xml:space="preserve">P2 — Evening dirt (mobility). </w:t>
      </w:r>
      <w:r>
        <w:rPr>
          <w:b w:val="false"/>
          <w:bCs w:val="false"/>
          <w:i w:val="false"/>
          <w:iCs w:val="false"/>
          <w:color w:val="1A1A1A"/>
          <w:sz w:val="22"/>
          <w:szCs w:val="22"/>
        </w:rPr>
        <w:t xml:space="preserve">The LEZ shifts emissions from tailpipes to power plants unless EV charging is steered into solar hours. Swap stations are, physically, distributed battery banks parked on the same congested feeders — the perfect sponge for midday surplus — but today they receive no signal, no incentive, and no market access to play that role.</w:t>
      </w:r>
    </w:p>
    <w:p>
      <w:pPr>
        <w:spacing w:after="140" w:before="0" w:line="276"/>
        <w:jc w:val="both"/>
      </w:pPr>
      <w:r>
        <w:rPr>
          <w:b w:val="false"/>
          <w:bCs w:val="false"/>
          <w:i w:val="false"/>
          <w:iCs w:val="false"/>
          <w:color w:val="1A1A1A"/>
          <w:sz w:val="22"/>
          <w:szCs w:val="22"/>
        </w:rPr>
        <w:t xml:space="preserve">Households pay twice for this failure: once for panels whose late-morning output is discarded, and again at full evening tariff for the coal-fired power that lights their homes and, increasingly, charges their vehicles.</w:t>
      </w:r>
    </w:p>
    <w:p>
      <w:pPr>
        <w:pStyle w:val="Heading2"/>
        <w:spacing w:after="120" w:before="220"/>
      </w:pPr>
      <w:r>
        <w:rPr>
          <w:b/>
          <w:bCs/>
          <w:color w:val="1A1A1A"/>
          <w:sz w:val="25"/>
          <w:szCs w:val="25"/>
        </w:rPr>
        <w:t xml:space="preserve">2.3  Scale and geographical reach</w:t>
      </w:r>
    </w:p>
    <w:p>
      <w:pPr>
        <w:pStyle w:val="ListParagraph"/>
        <w:numPr>
          <w:ilvl w:val="0"/>
          <w:numId w:val="2"/>
        </w:numPr>
        <w:spacing w:after="90" w:line="264"/>
        <w:jc w:val="both"/>
      </w:pPr>
      <w:r>
        <w:rPr>
          <w:b/>
          <w:bCs/>
          <w:i w:val="false"/>
          <w:iCs w:val="false"/>
          <w:color w:val="1A1A1A"/>
          <w:sz w:val="22"/>
          <w:szCs w:val="22"/>
        </w:rPr>
        <w:t xml:space="preserve">National: </w:t>
      </w:r>
      <w:r>
        <w:rPr>
          <w:b w:val="false"/>
          <w:bCs w:val="false"/>
          <w:i w:val="false"/>
          <w:iCs w:val="false"/>
          <w:color w:val="1A1A1A"/>
          <w:sz w:val="22"/>
          <w:szCs w:val="22"/>
        </w:rPr>
        <w:t xml:space="preserve">every additional gigawatt of the planned 46–73 GW deepens midday reverse flows on distribution feeders that grid reinforcement cannot keep pace with; curtailment of renewables has been a documented, recurring loss for years and is now spreading from utility-scale plants to rooftops.</w:t>
      </w:r>
    </w:p>
    <w:p>
      <w:pPr>
        <w:pStyle w:val="ListParagraph"/>
        <w:numPr>
          <w:ilvl w:val="0"/>
          <w:numId w:val="2"/>
        </w:numPr>
        <w:spacing w:after="90" w:line="264"/>
        <w:jc w:val="both"/>
      </w:pPr>
      <w:r>
        <w:rPr>
          <w:b/>
          <w:bCs/>
          <w:i w:val="false"/>
          <w:iCs w:val="false"/>
          <w:color w:val="1A1A1A"/>
          <w:sz w:val="22"/>
          <w:szCs w:val="22"/>
        </w:rPr>
        <w:t xml:space="preserve">Hanoi (our launch city): </w:t>
      </w:r>
      <w:r>
        <w:rPr>
          <w:b w:val="false"/>
          <w:bCs w:val="false"/>
          <w:i w:val="false"/>
          <w:iCs w:val="false"/>
          <w:color w:val="1A1A1A"/>
          <w:sz w:val="22"/>
          <w:szCs w:val="22"/>
        </w:rPr>
        <w:t xml:space="preserve">8+ million registered vehicles including 6.9 million motorbikes; the LEZ roadmap reaches 36 wards by 2030. Replacing 450,000 petrol bikes creates on the order of 270 MWh of new charging demand per day (≈ 100 GWh/year) in Hanoi alone — demand whose carbon content depends entirely on when it is drawn.</w:t>
      </w:r>
    </w:p>
    <w:p>
      <w:pPr>
        <w:pStyle w:val="ListParagraph"/>
        <w:numPr>
          <w:ilvl w:val="0"/>
          <w:numId w:val="2"/>
        </w:numPr>
        <w:spacing w:after="90" w:line="264"/>
        <w:jc w:val="both"/>
      </w:pPr>
      <w:r>
        <w:rPr>
          <w:b/>
          <w:bCs/>
          <w:i w:val="false"/>
          <w:iCs w:val="false"/>
          <w:color w:val="1A1A1A"/>
          <w:sz w:val="22"/>
          <w:szCs w:val="22"/>
        </w:rPr>
        <w:t xml:space="preserve">Regional: </w:t>
      </w:r>
      <w:r>
        <w:rPr>
          <w:b w:val="false"/>
          <w:bCs w:val="false"/>
          <w:i w:val="false"/>
          <w:iCs w:val="false"/>
          <w:color w:val="1A1A1A"/>
          <w:sz w:val="22"/>
          <w:szCs w:val="22"/>
        </w:rPr>
        <w:t xml:space="preserve">Thailand, Indonesia and the Philippines sit on the same curve — distributed solar growth colliding with two-wheeler electrification — typically 3–5 years behind Vietnam. Solving it here creates a Southeast Asian playbook.</w:t>
      </w:r>
    </w:p>
    <w:p>
      <w:pPr>
        <w:pStyle w:val="Heading2"/>
        <w:spacing w:after="120" w:before="220"/>
      </w:pPr>
      <w:r>
        <w:rPr>
          <w:b/>
          <w:bCs/>
          <w:color w:val="1A1A1A"/>
          <w:sz w:val="25"/>
          <w:szCs w:val="25"/>
        </w:rPr>
        <w:t xml:space="preserve">2.4  Urgency — why now, specifically July 2026</w:t>
      </w:r>
    </w:p>
    <w:p>
      <w:pPr>
        <w:pStyle w:val="ListParagraph"/>
        <w:numPr>
          <w:ilvl w:val="0"/>
          <w:numId w:val="2"/>
        </w:numPr>
        <w:spacing w:after="90" w:line="264"/>
        <w:jc w:val="both"/>
      </w:pPr>
      <w:r>
        <w:rPr>
          <w:b/>
          <w:bCs/>
          <w:i w:val="false"/>
          <w:iCs w:val="false"/>
          <w:color w:val="1A1A1A"/>
          <w:sz w:val="22"/>
          <w:szCs w:val="22"/>
        </w:rPr>
        <w:t xml:space="preserve">The LEZ went live this week. </w:t>
      </w:r>
      <w:r>
        <w:rPr>
          <w:b w:val="false"/>
          <w:bCs w:val="false"/>
          <w:i w:val="false"/>
          <w:iCs w:val="false"/>
          <w:color w:val="1A1A1A"/>
          <w:sz w:val="22"/>
          <w:szCs w:val="22"/>
        </w:rPr>
        <w:t xml:space="preserve">Charging habits, station siting and tariff structures for Hanoi's electric-mobility wave will crystallise over the next 24 months. Retrofitting coordination later is far harder than building it in now.</w:t>
      </w:r>
    </w:p>
    <w:p>
      <w:pPr>
        <w:pStyle w:val="ListParagraph"/>
        <w:numPr>
          <w:ilvl w:val="0"/>
          <w:numId w:val="2"/>
        </w:numPr>
        <w:spacing w:after="90" w:line="264"/>
        <w:jc w:val="both"/>
      </w:pPr>
      <w:r>
        <w:rPr>
          <w:b/>
          <w:bCs/>
          <w:i w:val="false"/>
          <w:iCs w:val="false"/>
          <w:color w:val="1A1A1A"/>
          <w:sz w:val="22"/>
          <w:szCs w:val="22"/>
        </w:rPr>
        <w:t xml:space="preserve">Congestion outpaces concrete. </w:t>
      </w:r>
      <w:r>
        <w:rPr>
          <w:b w:val="false"/>
          <w:bCs w:val="false"/>
          <w:i w:val="false"/>
          <w:iCs w:val="false"/>
          <w:color w:val="1A1A1A"/>
          <w:sz w:val="22"/>
          <w:szCs w:val="22"/>
        </w:rPr>
        <w:t xml:space="preserve">PDP8's solar build-out lands years before matching distribution upgrades; software-defined headroom is the only remedy deployable in months rather than years.</w:t>
      </w:r>
    </w:p>
    <w:p>
      <w:pPr>
        <w:pStyle w:val="ListParagraph"/>
        <w:numPr>
          <w:ilvl w:val="0"/>
          <w:numId w:val="2"/>
        </w:numPr>
        <w:spacing w:after="90" w:line="264"/>
        <w:jc w:val="both"/>
      </w:pPr>
      <w:r>
        <w:rPr>
          <w:b/>
          <w:bCs/>
          <w:i w:val="false"/>
          <w:iCs w:val="false"/>
          <w:color w:val="1A1A1A"/>
          <w:sz w:val="22"/>
          <w:szCs w:val="22"/>
        </w:rPr>
        <w:t xml:space="preserve">Every sunny day compounds the loss. </w:t>
      </w:r>
      <w:r>
        <w:rPr>
          <w:b w:val="false"/>
          <w:bCs w:val="false"/>
          <w:i w:val="false"/>
          <w:iCs w:val="false"/>
          <w:color w:val="1A1A1A"/>
          <w:sz w:val="22"/>
          <w:szCs w:val="22"/>
        </w:rPr>
        <w:t xml:space="preserve">Curtailed kilowatt-hours are gone forever, and each one is replaced after sunset by roughly 0.65–0.9 kg of CO₂ from marginal fossil generation.</w:t>
      </w:r>
    </w:p>
    <w:p>
      <w:pPr>
        <w:pStyle w:val="Heading2"/>
        <w:spacing w:after="120" w:before="220"/>
      </w:pPr>
      <w:r>
        <w:rPr>
          <w:b/>
          <w:bCs/>
          <w:color w:val="1A1A1A"/>
          <w:sz w:val="25"/>
          <w:szCs w:val="25"/>
        </w:rPr>
        <w:t xml:space="preserve">2.5  Stakeholders — who is affected and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Stakeholder</w:t>
            </w:r>
          </w:p>
        </w:tc>
        <w:tc>
          <w:tcPr>
            <w:tcW w:type="dxa" w:w="35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Role in the problem</w:t>
            </w:r>
          </w:p>
        </w:tc>
        <w:tc>
          <w:tcPr>
            <w:tcW w:type="dxa" w:w="32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Cost of inaction</w:t>
            </w:r>
          </w:p>
        </w:tc>
      </w:tr>
      <w:t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Prosumer households (&lt;100 kW rooftop, Decree 58/2025)</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Invested in panels; watch late-morning output curtailed with no visibility, agency, or fair compensation</w:t>
            </w:r>
          </w:p>
        </w:tc>
        <w:tc>
          <w:tcPr>
            <w:tcW w:type="dxa" w:w="32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Payback periods stretch; word-of-mouth chills future rooftop adoption</w:t>
            </w:r>
          </w:p>
        </w:tc>
      </w:tr>
      <w:tr>
        <w:tc>
          <w:tcPr>
            <w:tcW w:type="dxa" w:w="2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EV riders — especially ride-hailing &amp; delivery drivers</w:t>
            </w:r>
          </w:p>
        </w:tc>
        <w:tc>
          <w:tcPr>
            <w:tcW w:type="dxa" w:w="3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Compelled to electrify by the LEZ; charge whenever convenient (evenings)</w:t>
            </w:r>
          </w:p>
        </w:tc>
        <w:tc>
          <w:tcPr>
            <w:tcW w:type="dxa" w:w="32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Higher effective energy cost; “clean” vehicles carry a coal footprint</w:t>
            </w:r>
          </w:p>
        </w:tc>
      </w:tr>
      <w:t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Swap-station &amp; charging operators (VinFast, Selex, Honda ecosystems; e-taxi depots)</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Rapidly scaling load with no price signal tied to local solar conditions</w:t>
            </w:r>
          </w:p>
        </w:tc>
        <w:tc>
          <w:tcPr>
            <w:tcW w:type="dxa" w:w="32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Pay peak-period tariffs; add stress to already-constrained feeders</w:t>
            </w:r>
          </w:p>
        </w:tc>
      </w:tr>
      <w:tr>
        <w:tc>
          <w:tcPr>
            <w:tcW w:type="dxa" w:w="2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EVN distribution companies &amp; NSMO/NLDC</w:t>
            </w:r>
          </w:p>
        </w:tc>
        <w:tc>
          <w:tcPr>
            <w:tcW w:type="dxa" w:w="3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Must protect transformers with blunt feeder-level curtailment</w:t>
            </w:r>
          </w:p>
        </w:tc>
        <w:tc>
          <w:tcPr>
            <w:tcW w:type="dxa" w:w="32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Wasted clean energy, prosumer resentment, and accelerated capital spending on reinforcement</w:t>
            </w:r>
          </w:p>
        </w:tc>
      </w:tr>
      <w:t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Hanoi People's Committee / MOIT</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Own the LEZ's air-quality promise and national net-zero 2050 commitments</w:t>
            </w:r>
          </w:p>
        </w:tc>
        <w:tc>
          <w:tcPr>
            <w:tcW w:type="dxa" w:w="32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“EVs charged on coal” headline risk; NDC gap widens</w:t>
            </w:r>
          </w:p>
        </w:tc>
      </w:tr>
    </w:tbl>
    <w:p>
      <w:r>
        <w:br w:type="page"/>
      </w:r>
    </w:p>
    <w:p>
      <w:pPr>
        <w:pStyle w:val="Heading1"/>
        <w:spacing w:after="160" w:before="320"/>
      </w:pPr>
      <w:r>
        <w:rPr>
          <w:b/>
          <w:bCs/>
          <w:color w:val="0B6E4F"/>
          <w:sz w:val="30"/>
          <w:szCs w:val="30"/>
        </w:rPr>
        <w:t xml:space="preserve">3.  EXISTING SOLUTIONS AND GAP ANALYSIS</w:t>
      </w:r>
    </w:p>
    <w:p>
      <w:pPr>
        <w:spacing w:after="140" w:before="0" w:line="276"/>
        <w:jc w:val="both"/>
      </w:pPr>
      <w:r>
        <w:rPr>
          <w:b w:val="false"/>
          <w:bCs w:val="false"/>
          <w:i w:val="false"/>
          <w:iCs w:val="false"/>
          <w:color w:val="1A1A1A"/>
          <w:sz w:val="22"/>
          <w:szCs w:val="22"/>
        </w:rPr>
        <w:t xml:space="preserve">SolarFlow is not built in a vacuum. We benchmarked seven families of existing solutions, deliberately borrowing their proven strengths and engineering around their limitations. Our idea is therefore an </w:t>
      </w:r>
      <w:r>
        <w:rPr>
          <w:b/>
          <w:bCs/>
          <w:i w:val="false"/>
          <w:iCs w:val="false"/>
          <w:color w:val="1A1A1A"/>
          <w:sz w:val="22"/>
          <w:szCs w:val="22"/>
        </w:rPr>
        <w:t xml:space="preserve">improvement-integration</w:t>
      </w:r>
      <w:r>
        <w:rPr>
          <w:b w:val="false"/>
          <w:bCs w:val="false"/>
          <w:i w:val="false"/>
          <w:iCs w:val="false"/>
          <w:color w:val="1A1A1A"/>
          <w:sz w:val="22"/>
          <w:szCs w:val="22"/>
        </w:rPr>
        <w:t xml:space="preserve">: new where it must be, derivative where the world has already solved the sub-problem.</w:t>
      </w:r>
    </w:p>
    <w:p>
      <w:pPr>
        <w:pStyle w:val="Heading2"/>
        <w:spacing w:after="120" w:before="220"/>
      </w:pPr>
      <w:r>
        <w:rPr>
          <w:b/>
          <w:bCs/>
          <w:color w:val="1A1A1A"/>
          <w:sz w:val="25"/>
          <w:szCs w:val="25"/>
        </w:rPr>
        <w:t xml:space="preserve">3.1  Landscape of current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250"/>
        <w:gridCol w:w="3426"/>
      </w:tblGrid>
      <w:tr>
        <w:trPr>
          <w:tblHeader/>
        </w:trPr>
        <w:tc>
          <w:tcPr>
            <w:tcW w:type="dxa" w:w="235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Solution (market status)</w:t>
            </w:r>
          </w:p>
        </w:tc>
        <w:tc>
          <w:tcPr>
            <w:tcW w:type="dxa" w:w="325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Strengths — what we adopt</w:t>
            </w:r>
          </w:p>
        </w:tc>
        <w:tc>
          <w:tcPr>
            <w:tcW w:type="dxa" w:w="34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Limitations &amp; gaps in Vietnam's context</w:t>
            </w:r>
          </w:p>
        </w:tc>
      </w:tr>
      <w:tr>
        <w:tc>
          <w:tcPr>
            <w:tcW w:type="dxa" w:w="2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EVN status quo: flat-rate surplus purchase (Decree 58/2025, Decision 429/QD-EVN) + manual curtailment (deployed nationwide)</w:t>
            </w:r>
          </w:p>
        </w:tc>
        <w:tc>
          <w:tcPr>
            <w:tcW w:type="dxa" w:w="3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Legally established channel; universal reach; simple for households; EVN settlement is trusted</w:t>
            </w:r>
          </w:p>
        </w:tc>
        <w:tc>
          <w:tcPr>
            <w:tcW w:type="dxa" w:w="34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Reactive, feeder-wide cuts with no per-household granularity; previous-year-average pricing gives no time or location signal; households cannot see, bid, or verify; zero demand-side steering</w:t>
            </w:r>
          </w:p>
        </w:tc>
      </w:tr>
      <w:tr>
        <w:tc>
          <w:tcPr>
            <w:tcW w:type="dxa" w:w="23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Home batteries &amp; residential VPPs — sonnen (DE), Tesla VPP (AU/US)</w:t>
            </w:r>
          </w:p>
        </w:tc>
        <w:tc>
          <w:tcPr>
            <w:tcW w:type="dxa" w:w="32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Proven that aggregated small assets can serve the grid; excellent shift of solar to evening</w:t>
            </w:r>
          </w:p>
        </w:tc>
        <w:tc>
          <w:tcPr>
            <w:tcW w:type="dxa" w:w="34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Hardware cost of tens of millions VND per home is prohibitive for the mass market; VPP aggregation has no Vietnamese regulatory category yet</w:t>
            </w:r>
          </w:p>
        </w:tc>
      </w:tr>
      <w:tr>
        <w:tc>
          <w:tcPr>
            <w:tcW w:type="dxa" w:w="2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Blockchain P2P energy trading — Powerledger (T77 Bangkok with BCPG; trials with KEPCO Japan, India), LO3/Brooklyn Microgrid</w:t>
            </w:r>
          </w:p>
        </w:tc>
        <w:tc>
          <w:tcPr>
            <w:tcW w:type="dxa" w:w="3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Pioneered prosumer market UX and transparent transaction records; demonstrated real consumer appetite in Asia</w:t>
            </w:r>
          </w:p>
        </w:tc>
        <w:tc>
          <w:tcPr>
            <w:tcW w:type="dxa" w:w="34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Requires enabling regulation that Vietnam's single-buyer market does not provide; token-based settlement conflicts with Vietnamese payment law; clears trades financially while ignoring physical congestion — the actual binding constraint</w:t>
            </w:r>
          </w:p>
        </w:tc>
      </w:tr>
      <w:tr>
        <w:tc>
          <w:tcPr>
            <w:tcW w:type="dxa" w:w="23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SOLshare / SOLbazaar (Bangladesh; UN-awarded; now adding EV charging)</w:t>
            </w:r>
          </w:p>
        </w:tc>
        <w:tc>
          <w:tcPr>
            <w:tcW w:type="dxa" w:w="32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World's first P2P swarm grids; brilliant pay-as-you-go inclusion of low-income users — our benchmark for accessible UX</w:t>
            </w:r>
          </w:p>
        </w:tc>
        <w:tc>
          <w:tcPr>
            <w:tcW w:type="dxa" w:w="34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Architected for off-grid / weak-grid DC nanogrids; does not address grid-tied urban feeders, transformer reverse-flow limits, or a single-buyer wholesale structure</w:t>
            </w:r>
          </w:p>
        </w:tc>
      </w:tr>
      <w:tr>
        <w:tc>
          <w:tcPr>
            <w:tcW w:type="dxa" w:w="2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DSO flexibility markets — Piclo Flex (UK), GOPACS (NL)</w:t>
            </w:r>
          </w:p>
        </w:tc>
        <w:tc>
          <w:tcPr>
            <w:tcW w:type="dxa" w:w="3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The correct physics: procure flexibility where and when the network is constrained — our benchmark for congestion-awareness</w:t>
            </w:r>
          </w:p>
        </w:tc>
        <w:tc>
          <w:tcPr>
            <w:tcW w:type="dxa" w:w="34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Designed for utilities and professional aggregators in liberalised markets; no household-scale UX; assumes market roles and price levels that do not exist in Vietnam</w:t>
            </w:r>
          </w:p>
        </w:tc>
      </w:tr>
      <w:tr>
        <w:tc>
          <w:tcPr>
            <w:tcW w:type="dxa" w:w="23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Swap &amp; charging networks — VinFast (≈4,500 stations), Selex (shared network, batteries compatible with ≈70% of e-2W), Honda (from 04/2026)</w:t>
            </w:r>
          </w:p>
        </w:tc>
        <w:tc>
          <w:tcPr>
            <w:tcW w:type="dxa" w:w="32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Massive, standardised, schedulable battery capacity already deployed on urban feeders; APIs and apps exist</w:t>
            </w:r>
          </w:p>
        </w:tc>
        <w:tc>
          <w:tcPr>
            <w:tcW w:type="dxa" w:w="34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Charge on their own schedule with no link to local solar surplus or transformer state; today they add to the problem they could be solving</w:t>
            </w:r>
          </w:p>
        </w:tc>
      </w:tr>
      <w:tr>
        <w:tc>
          <w:tcPr>
            <w:tcW w:type="dxa" w:w="2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Monitoring apps — inverter clouds (Growatt, Huawei, SMA…), EVN customer apps</w:t>
            </w:r>
          </w:p>
        </w:tc>
        <w:tc>
          <w:tcPr>
            <w:tcW w:type="dxa" w:w="3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The data layer largely exists: 5-minute export telemetry from inverters, consumption from EVN metering</w:t>
            </w:r>
          </w:p>
        </w:tc>
        <w:tc>
          <w:tcPr>
            <w:tcW w:type="dxa" w:w="34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Information only — no forecasting, no market, no control loop; the silos our Section 2.2 identifies</w:t>
            </w:r>
          </w:p>
        </w:tc>
      </w:tr>
    </w:tbl>
    <w:p>
      <w:pPr>
        <w:pStyle w:val="Heading2"/>
        <w:spacing w:after="120" w:before="220"/>
      </w:pPr>
      <w:r>
        <w:rPr>
          <w:b/>
          <w:bCs/>
          <w:color w:val="1A1A1A"/>
          <w:sz w:val="25"/>
          <w:szCs w:val="25"/>
        </w:rPr>
        <w:t xml:space="preserve">3.2  The unresolved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B6E4F" w:sz="8"/>
              <w:left w:val="single" w:color="0B6E4F" w:sz="16"/>
              <w:bottom w:val="single" w:color="0B6E4F" w:sz="8"/>
              <w:right w:val="single" w:color="0B6E4F" w:sz="8"/>
            </w:tcBorders>
            <w:shd w:fill="E7F4EE" w:val="clear"/>
            <w:tcMar>
              <w:top w:type="dxa" w:w="120"/>
              <w:left w:type="dxa" w:w="160"/>
              <w:bottom w:type="dxa" w:w="120"/>
              <w:right w:type="dxa" w:w="160"/>
            </w:tcMar>
          </w:tcPr>
          <w:p>
            <w:pPr>
              <w:spacing w:line="264"/>
              <w:jc w:val="both"/>
            </w:pPr>
            <w:r>
              <w:rPr>
                <w:b/>
                <w:bCs/>
                <w:i w:val="false"/>
                <w:iCs w:val="false"/>
                <w:color w:val="1A1A1A"/>
                <w:sz w:val="22"/>
                <w:szCs w:val="22"/>
              </w:rPr>
              <w:t xml:space="preserve">No existing solution simultaneously </w:t>
            </w:r>
            <w:r>
              <w:rPr>
                <w:b w:val="false"/>
                <w:bCs w:val="false"/>
                <w:i w:val="false"/>
                <w:iCs w:val="false"/>
                <w:color w:val="1A1A1A"/>
                <w:sz w:val="22"/>
                <w:szCs w:val="22"/>
              </w:rPr>
              <w:t xml:space="preserve">(a) predicts distribution-level congestion before it happens, (b) allocates scarce export headroom fairly among ordinary households, (c) recruits mobility batteries as absorptive demand at solar noon, and (d) deploys inside Vietnam's current single-buyer regulation without waiting for a new law. Effectiveness gaps (a)–(c) are technical; constraint (d) — regulatory fit, cost, and accessibility — is what has kept every international platform out of the Vietnamese mass market. SolarFlow is designed to close all four at once.</w:t>
            </w:r>
          </w:p>
        </w:tc>
      </w:tr>
    </w:tbl>
    <w:p>
      <w:r>
        <w:br w:type="page"/>
      </w:r>
    </w:p>
    <w:p>
      <w:pPr>
        <w:pStyle w:val="Heading1"/>
        <w:spacing w:after="160" w:before="320"/>
      </w:pPr>
      <w:r>
        <w:rPr>
          <w:b/>
          <w:bCs/>
          <w:color w:val="0B6E4F"/>
          <w:sz w:val="30"/>
          <w:szCs w:val="30"/>
        </w:rPr>
        <w:t xml:space="preserve">4.  PROPOSED SOLUTION AND CORE FEATURES</w:t>
      </w:r>
    </w:p>
    <w:p>
      <w:pPr>
        <w:pStyle w:val="Heading2"/>
        <w:spacing w:after="120" w:before="220"/>
      </w:pPr>
      <w:r>
        <w:rPr>
          <w:b/>
          <w:bCs/>
          <w:color w:val="1A1A1A"/>
          <w:sz w:val="25"/>
          <w:szCs w:val="25"/>
        </w:rPr>
        <w:t xml:space="preserve">4.1  Solution overview — how SolarFlow answers Section 2</w:t>
      </w:r>
    </w:p>
    <w:p>
      <w:pPr>
        <w:spacing w:after="140" w:before="0" w:line="276"/>
        <w:jc w:val="both"/>
      </w:pPr>
      <w:r>
        <w:rPr>
          <w:b w:val="false"/>
          <w:bCs w:val="false"/>
          <w:i w:val="false"/>
          <w:iCs w:val="false"/>
          <w:color w:val="1A1A1A"/>
          <w:sz w:val="22"/>
          <w:szCs w:val="22"/>
        </w:rPr>
        <w:t xml:space="preserve">SolarFlow is one platform with two coordinated layers. </w:t>
      </w:r>
      <w:r>
        <w:rPr>
          <w:b/>
          <w:bCs/>
          <w:i w:val="false"/>
          <w:iCs w:val="false"/>
          <w:color w:val="1A1A1A"/>
          <w:sz w:val="22"/>
          <w:szCs w:val="22"/>
        </w:rPr>
        <w:t xml:space="preserve">GridMind (the intelligence layer)</w:t>
      </w:r>
      <w:r>
        <w:rPr>
          <w:b w:val="false"/>
          <w:bCs w:val="false"/>
          <w:i w:val="false"/>
          <w:iCs w:val="false"/>
          <w:color w:val="1A1A1A"/>
          <w:sz w:val="22"/>
          <w:szCs w:val="22"/>
        </w:rPr>
        <w:t xml:space="preserve"> fuses weather, irradiance, transformer telemetry and household generation/consumption history into three products every 15 minutes: a per-transformer forecast of safe reverse-flow headroom, a per-household forecast of genuine solar surplus, and a fair allocation of that headroom via a constrained multi-objective auction. </w:t>
      </w:r>
      <w:r>
        <w:rPr>
          <w:b/>
          <w:bCs/>
          <w:i w:val="false"/>
          <w:iCs w:val="false"/>
          <w:color w:val="1A1A1A"/>
          <w:sz w:val="22"/>
          <w:szCs w:val="22"/>
        </w:rPr>
        <w:t xml:space="preserve">FlowMarket (the market layer)</w:t>
      </w:r>
      <w:r>
        <w:rPr>
          <w:b w:val="false"/>
          <w:bCs w:val="false"/>
          <w:i w:val="false"/>
          <w:iCs w:val="false"/>
          <w:color w:val="1A1A1A"/>
          <w:sz w:val="22"/>
          <w:szCs w:val="22"/>
        </w:rPr>
        <w:t xml:space="preserve"> turns allocations into action and money: it matches accepted surplus with flexible demand on the same feeder, dispatches inverter set-points and station charging schedules, verifies delivery against meter data, settles in VND, and seals the record in a tamper-evident ledger.</w:t>
      </w:r>
    </w:p>
    <w:p>
      <w:pPr>
        <w:spacing w:after="140" w:before="0" w:line="276"/>
        <w:jc w:val="both"/>
      </w:pPr>
      <w:r>
        <w:rPr>
          <w:b/>
          <w:bCs/>
          <w:i w:val="false"/>
          <w:iCs w:val="false"/>
          <w:color w:val="1A1A1A"/>
          <w:sz w:val="22"/>
          <w:szCs w:val="22"/>
        </w:rPr>
        <w:t xml:space="preserve">Problem P1 (morning waste) is solved by GridMind: </w:t>
      </w:r>
      <w:r>
        <w:rPr>
          <w:b w:val="false"/>
          <w:bCs w:val="false"/>
          <w:i w:val="false"/>
          <w:iCs w:val="false"/>
          <w:color w:val="1A1A1A"/>
          <w:sz w:val="22"/>
          <w:szCs w:val="22"/>
        </w:rPr>
        <w:t xml:space="preserve">curtailment stops being a blunt feeder switch and becomes a predicted, minimal, explainable allocation — only the marginal kilowatt-hours that physically cannot be absorbed are declined, and the fairness engine ensures no household is repeatedly excluded. </w:t>
      </w:r>
      <w:r>
        <w:rPr>
          <w:b/>
          <w:bCs/>
          <w:i w:val="false"/>
          <w:iCs w:val="false"/>
          <w:color w:val="1A1A1A"/>
          <w:sz w:val="22"/>
          <w:szCs w:val="22"/>
        </w:rPr>
        <w:t xml:space="preserve">Problem P2 (evening dirt) is solved by FlexMatch: </w:t>
      </w:r>
      <w:r>
        <w:rPr>
          <w:b w:val="false"/>
          <w:bCs w:val="false"/>
          <w:i w:val="false"/>
          <w:iCs w:val="false"/>
          <w:color w:val="1A1A1A"/>
          <w:sz w:val="22"/>
          <w:szCs w:val="22"/>
        </w:rPr>
        <w:t xml:space="preserve">swap stations and depots are paid to pull their charging into the 10:00–14:00 solar window, physically shrinking reverse flow (absorption is the cheapest headroom there is) while filling evening-swapped batteries with midday sunshine. EVN keeps full operational authority and remains the financial counterparty throughout — SolarFlow makes the existing rules work better instead of fighting them.</w:t>
      </w:r>
    </w:p>
    <w:p>
      <w:pPr>
        <w:pStyle w:val="Heading3"/>
        <w:spacing w:after="90" w:before="160"/>
      </w:pPr>
      <w:r>
        <w:rPr>
          <w:b/>
          <w:bCs/>
          <w:color w:val="0B6E4F"/>
          <w:sz w:val="22"/>
          <w:szCs w:val="22"/>
        </w:rPr>
        <w:t xml:space="preserve">A day with SolarFlow (Transformer T-0421, a real-topology Hanoi neighbourhood in our digital twin)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Time</w:t>
            </w:r>
          </w:p>
        </w:tc>
        <w:tc>
          <w:tcPr>
            <w:tcW w:type="dxa" w:w="77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What happens</w:t>
            </w:r>
          </w:p>
        </w:tc>
      </w:tr>
      <w:tr>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07:30</w:t>
            </w:r>
          </w:p>
        </w:tc>
        <w:tc>
          <w:tcPr>
            <w:tcW w:type="dxa" w:w="77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GridMind's 24-hour run flags T-0421: predicted 92% of safe reverse-flow limit at 12:15, confidence 0.87 (clear sky, Sunday industrial lull).</w:t>
            </w:r>
          </w:p>
        </w:tc>
      </w:tr>
      <w:tr>
        <w:tc>
          <w:tcPr>
            <w:tcW w:type="dxa" w:w="1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09:00</w:t>
            </w:r>
          </w:p>
        </w:tc>
        <w:tc>
          <w:tcPr>
            <w:tcW w:type="dxa" w:w="77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Auto-Sell agents submit bids for 38 households, each capped at its own forecast surplus. Two swap stations and an e-taxi depot post absorption offers for the solar window.</w:t>
            </w:r>
          </w:p>
        </w:tc>
      </w:tr>
      <w:tr>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11:30</w:t>
            </w:r>
          </w:p>
        </w:tc>
        <w:tc>
          <w:tcPr>
            <w:tcW w:type="dxa" w:w="77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HeadRoom Auction clears the 12:00–14:00 window: 41 kWh of export allocated across 33 households; FlexMatch schedules 30 kWh of station charging, freeing headroom for 5 more homes. Each declined bid receives a reason and a priority credit.</w:t>
            </w:r>
          </w:p>
        </w:tc>
      </w:tr>
      <w:tr>
        <w:tc>
          <w:tcPr>
            <w:tcW w:type="dxa" w:w="1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12:15</w:t>
            </w:r>
          </w:p>
        </w:tc>
        <w:tc>
          <w:tcPr>
            <w:tcW w:type="dxa" w:w="77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No curtailment event. Transformer peaks at 84% — 8 points below the do-nothing forecast. The operator console shows the counterfactual in real time.</w:t>
            </w:r>
          </w:p>
        </w:tc>
      </w:tr>
      <w:tr>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13:05</w:t>
            </w:r>
          </w:p>
        </w:tc>
        <w:tc>
          <w:tcPr>
            <w:tcW w:type="dxa" w:w="77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Meter reconciliation confirms delivery within tolerance; VND credits issue to household e-wallets; the window's Merkle root is sealed to the audit ledger.</w:t>
            </w:r>
          </w:p>
        </w:tc>
      </w:tr>
      <w:tr>
        <w:tc>
          <w:tcPr>
            <w:tcW w:type="dxa" w:w="1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18:40</w:t>
            </w:r>
          </w:p>
        </w:tc>
        <w:tc>
          <w:tcPr>
            <w:tcW w:type="dxa" w:w="77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A Grab rider swaps a battery at Station #2. The app shows: “Charged 12:10 today — 98% solar. ≈0.9 kg CO₂ avoided.” Evening kilometres, morning sunshine.</w:t>
            </w:r>
          </w:p>
        </w:tc>
      </w:tr>
    </w:tbl>
    <w:p>
      <w:pPr>
        <w:spacing w:after="80"/>
      </w:pPr>
    </w:p>
    <w:p>
      <w:pPr>
        <w:pStyle w:val="Heading2"/>
        <w:spacing w:after="120" w:before="220"/>
      </w:pPr>
      <w:r>
        <w:rPr>
          <w:b/>
          <w:bCs/>
          <w:color w:val="1A1A1A"/>
          <w:sz w:val="25"/>
          <w:szCs w:val="25"/>
        </w:rPr>
        <w:t xml:space="preserve">4.2  Core features (what the prototype demonstrates)</w:t>
      </w:r>
    </w:p>
    <w:p>
      <w:pPr>
        <w:pStyle w:val="ListParagraph"/>
        <w:numPr>
          <w:ilvl w:val="0"/>
          <w:numId w:val="2"/>
        </w:numPr>
        <w:spacing w:after="90" w:line="264"/>
        <w:jc w:val="both"/>
      </w:pPr>
      <w:r>
        <w:rPr>
          <w:b/>
          <w:bCs/>
          <w:i w:val="false"/>
          <w:iCs w:val="false"/>
          <w:color w:val="1A1A1A"/>
          <w:sz w:val="22"/>
          <w:szCs w:val="22"/>
        </w:rPr>
        <w:t xml:space="preserve">F1 — GridMind Forecast (congestion + surplus). </w:t>
      </w:r>
      <w:r>
        <w:rPr>
          <w:b w:val="false"/>
          <w:bCs w:val="false"/>
          <w:i w:val="false"/>
          <w:iCs w:val="false"/>
          <w:color w:val="1A1A1A"/>
          <w:sz w:val="22"/>
          <w:szCs w:val="22"/>
        </w:rPr>
        <w:t xml:space="preserve">Per-transformer overload probability at 15-min, 1-h and 24-h horizons (gradient-boosted trees over irradiance, temperature, calendar and load history, with a sequence model for ramps), and a per-household surplus nowcast (target MAE ≤ 0.4 kWh/h) that hard-caps every bid at physically real energy — the structural defence against inflated bids.</w:t>
      </w:r>
    </w:p>
    <w:p>
      <w:pPr>
        <w:pStyle w:val="ListParagraph"/>
        <w:numPr>
          <w:ilvl w:val="0"/>
          <w:numId w:val="2"/>
        </w:numPr>
        <w:spacing w:after="90" w:line="264"/>
        <w:jc w:val="both"/>
      </w:pPr>
      <w:r>
        <w:rPr>
          <w:b/>
          <w:bCs/>
          <w:i w:val="false"/>
          <w:iCs w:val="false"/>
          <w:color w:val="1A1A1A"/>
          <w:sz w:val="22"/>
          <w:szCs w:val="22"/>
        </w:rPr>
        <w:t xml:space="preserve">F2 — HeadRoom Auction (fair allocation). </w:t>
      </w:r>
      <w:r>
        <w:rPr>
          <w:b w:val="false"/>
          <w:bCs w:val="false"/>
          <w:i w:val="false"/>
          <w:iCs w:val="false"/>
          <w:color w:val="1A1A1A"/>
          <w:sz w:val="22"/>
          <w:szCs w:val="22"/>
        </w:rPr>
        <w:t xml:space="preserve">A mixed-integer optimisation clears each 15-minute window: maximise weighted renewable utilisation, price merit, delivery reliability and fairness credits, subject to the hard constraint that total accepted export never exceeds 90% of forecast headroom. Every outcome is explainable to the household in one sentence.</w:t>
      </w:r>
    </w:p>
    <w:p>
      <w:pPr>
        <w:pStyle w:val="ListParagraph"/>
        <w:numPr>
          <w:ilvl w:val="0"/>
          <w:numId w:val="2"/>
        </w:numPr>
        <w:spacing w:after="90" w:line="264"/>
        <w:jc w:val="both"/>
      </w:pPr>
      <w:r>
        <w:rPr>
          <w:b/>
          <w:bCs/>
          <w:i w:val="false"/>
          <w:iCs w:val="false"/>
          <w:color w:val="1A1A1A"/>
          <w:sz w:val="22"/>
          <w:szCs w:val="22"/>
        </w:rPr>
        <w:t xml:space="preserve">F3 — Sun-to-Wheels FlexMatch (mobility demand side). </w:t>
      </w:r>
      <w:r>
        <w:rPr>
          <w:b w:val="false"/>
          <w:bCs w:val="false"/>
          <w:i w:val="false"/>
          <w:iCs w:val="false"/>
          <w:color w:val="1A1A1A"/>
          <w:sz w:val="22"/>
          <w:szCs w:val="22"/>
        </w:rPr>
        <w:t xml:space="preserve">Swap stations, e-taxi/e-bus depots and pre-cooling businesses register shiftable load and receive solar-window schedules plus absorption credits. This is the track-bridging feature: mobility batteries become the sponge for rooftop surplus, and evening swaps become verified low-carbon kilometres. DPPA-ready for large consumers under Decree 57/2025.</w:t>
      </w:r>
    </w:p>
    <w:p>
      <w:pPr>
        <w:pStyle w:val="ListParagraph"/>
        <w:numPr>
          <w:ilvl w:val="0"/>
          <w:numId w:val="2"/>
        </w:numPr>
        <w:spacing w:after="90" w:line="264"/>
        <w:jc w:val="both"/>
      </w:pPr>
      <w:r>
        <w:rPr>
          <w:b/>
          <w:bCs/>
          <w:i w:val="false"/>
          <w:iCs w:val="false"/>
          <w:color w:val="1A1A1A"/>
          <w:sz w:val="22"/>
          <w:szCs w:val="22"/>
        </w:rPr>
        <w:t xml:space="preserve">F4 — One-Switch Prosumer App (radical accessibility). </w:t>
      </w:r>
      <w:r>
        <w:rPr>
          <w:b w:val="false"/>
          <w:bCs w:val="false"/>
          <w:i w:val="false"/>
          <w:iCs w:val="false"/>
          <w:color w:val="1A1A1A"/>
          <w:sz w:val="22"/>
          <w:szCs w:val="22"/>
        </w:rPr>
        <w:t xml:space="preserve">Shipped first as a Zalo Mini App — zero install friction on the messenger most Vietnamese households already use — plus React Native. Default “Auto-Sell” mode: set once, earn passively. Money-first UI in VND (“Hôm nay bạn kiếm được 12.400đ”), Vietnamese voice guidance, large-type mode for elderly users, and a full transparency trail from bid → result → meter reading → payment.</w:t>
      </w:r>
    </w:p>
    <w:p>
      <w:pPr>
        <w:pStyle w:val="ListParagraph"/>
        <w:numPr>
          <w:ilvl w:val="0"/>
          <w:numId w:val="2"/>
        </w:numPr>
        <w:spacing w:after="90" w:line="264"/>
        <w:jc w:val="both"/>
      </w:pPr>
      <w:r>
        <w:rPr>
          <w:b/>
          <w:bCs/>
          <w:i w:val="false"/>
          <w:iCs w:val="false"/>
          <w:color w:val="1A1A1A"/>
          <w:sz w:val="22"/>
          <w:szCs w:val="22"/>
        </w:rPr>
        <w:t xml:space="preserve">F5 — TrustLedger Settlement &amp; Sentinel Anti-Fraud. </w:t>
      </w:r>
      <w:r>
        <w:rPr>
          <w:b w:val="false"/>
          <w:bCs w:val="false"/>
          <w:i w:val="false"/>
          <w:iCs w:val="false"/>
          <w:color w:val="1A1A1A"/>
          <w:sz w:val="22"/>
          <w:szCs w:val="22"/>
        </w:rPr>
        <w:t xml:space="preserve">Delivery is verified against smart-meter (or inverter-API) data before payment; payouts run on VND rails — bank transfer and licensed e-wallets under Decree 52/2024 on non-cash payment. Every event is hash-chained into a publicly verifiable append-only ledger (optionally replicated on a permissioned Hyperledger Fabric network whose peers are EVN, the regulator and a consumer co-operative). Sentinel flags bids exceeding physical surplus, meter-tampering signatures and collusion patterns before money moves.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B6E4F" w:sz="8"/>
              <w:left w:val="single" w:color="0B6E4F" w:sz="16"/>
              <w:bottom w:val="single" w:color="0B6E4F" w:sz="8"/>
              <w:right w:val="single" w:color="0B6E4F" w:sz="8"/>
            </w:tcBorders>
            <w:shd w:fill="E7F4EE" w:val="clear"/>
            <w:tcMar>
              <w:top w:type="dxa" w:w="120"/>
              <w:left w:type="dxa" w:w="160"/>
              <w:bottom w:type="dxa" w:w="120"/>
              <w:right w:type="dxa" w:w="160"/>
            </w:tcMar>
          </w:tcPr>
          <w:p>
            <w:pPr>
              <w:spacing w:line="264"/>
              <w:jc w:val="both"/>
            </w:pPr>
            <w:r>
              <w:rPr>
                <w:b/>
                <w:bCs/>
                <w:i w:val="false"/>
                <w:iCs w:val="false"/>
                <w:color w:val="B4690E"/>
                <w:sz w:val="22"/>
                <w:szCs w:val="22"/>
              </w:rPr>
              <w:t xml:space="preserve">Deliberate non-feature: </w:t>
            </w:r>
            <w:r>
              <w:rPr>
                <w:b w:val="false"/>
                <w:bCs w:val="false"/>
                <w:i w:val="false"/>
                <w:iCs w:val="false"/>
                <w:color w:val="1A1A1A"/>
                <w:sz w:val="22"/>
                <w:szCs w:val="22"/>
              </w:rPr>
              <w:t xml:space="preserve">no cryptocurrency, no tokens. Vietnam's Law on Digital Technology Industry (effective 01/01/2026) and Resolution 05/2025/NQ-CP recognise crypto assets as property — but not as a means of payment. Our ledger is audit infrastructure, not money. Designing this out is a feasibility feature, not a compromise.</w:t>
            </w:r>
          </w:p>
        </w:tc>
      </w:tr>
    </w:tbl>
    <w:p>
      <w:r>
        <w:br w:type="page"/>
      </w:r>
    </w:p>
    <w:p>
      <w:pPr>
        <w:pStyle w:val="Heading1"/>
        <w:spacing w:after="160" w:before="320"/>
      </w:pPr>
      <w:r>
        <w:rPr>
          <w:b/>
          <w:bCs/>
          <w:color w:val="0B6E4F"/>
          <w:sz w:val="30"/>
          <w:szCs w:val="30"/>
        </w:rPr>
        <w:t xml:space="preserve">5.  INNOVATION &amp; COMPETITIVE ADVANTAGE</w:t>
      </w:r>
    </w:p>
    <w:p>
      <w:pPr>
        <w:pStyle w:val="Heading2"/>
        <w:spacing w:after="120" w:before="220"/>
      </w:pPr>
      <w:r>
        <w:rPr>
          <w:b/>
          <w:bCs/>
          <w:color w:val="1A1A1A"/>
          <w:sz w:val="25"/>
          <w:szCs w:val="25"/>
        </w:rPr>
        <w:t xml:space="preserve">5.1  What is genuinely new</w:t>
      </w:r>
    </w:p>
    <w:p>
      <w:pPr>
        <w:pStyle w:val="ListParagraph"/>
        <w:numPr>
          <w:ilvl w:val="0"/>
          <w:numId w:val="2"/>
        </w:numPr>
        <w:spacing w:after="90" w:line="264"/>
        <w:jc w:val="both"/>
      </w:pPr>
      <w:r>
        <w:rPr>
          <w:b/>
          <w:bCs/>
          <w:i w:val="false"/>
          <w:iCs w:val="false"/>
          <w:color w:val="1A1A1A"/>
          <w:sz w:val="22"/>
          <w:szCs w:val="22"/>
        </w:rPr>
        <w:t xml:space="preserve">I1 — Predict-then-allocate curtailment. </w:t>
      </w:r>
      <w:r>
        <w:rPr>
          <w:b w:val="false"/>
          <w:bCs w:val="false"/>
          <w:i w:val="false"/>
          <w:iCs w:val="false"/>
          <w:color w:val="1A1A1A"/>
          <w:sz w:val="22"/>
          <w:szCs w:val="22"/>
        </w:rPr>
        <w:t xml:space="preserve">We reframe curtailment from a reactive operator action into a forecast product — “headroom” — that is market-cleared 15–60 minutes ahead. To our knowledge no deployed system offers household-granular, fairness-constrained allocation of distribution headroom in a single-buyer market.</w:t>
      </w:r>
    </w:p>
    <w:p>
      <w:pPr>
        <w:pStyle w:val="ListParagraph"/>
        <w:numPr>
          <w:ilvl w:val="0"/>
          <w:numId w:val="2"/>
        </w:numPr>
        <w:spacing w:after="90" w:line="264"/>
        <w:jc w:val="both"/>
      </w:pPr>
      <w:r>
        <w:rPr>
          <w:b/>
          <w:bCs/>
          <w:i w:val="false"/>
          <w:iCs w:val="false"/>
          <w:color w:val="1A1A1A"/>
          <w:sz w:val="22"/>
          <w:szCs w:val="22"/>
        </w:rPr>
        <w:t xml:space="preserve">I2 — Energy–mobility coupling at the feeder. </w:t>
      </w:r>
      <w:r>
        <w:rPr>
          <w:b w:val="false"/>
          <w:bCs w:val="false"/>
          <w:i w:val="false"/>
          <w:iCs w:val="false"/>
          <w:color w:val="1A1A1A"/>
          <w:sz w:val="22"/>
          <w:szCs w:val="22"/>
        </w:rPr>
        <w:t xml:space="preserve">SolarFlow is the first design we are aware of that treats battery-swap networks as schedulable sinks for household solar inside one local market — converting two national problems (solar curtailment; EVs charging on coal) into each other's solution. This is the creative core of Sun-to-Wheels, and it is uniquely timely: the LEZ and the swap-station build-out are happening in our launch city this quarter.</w:t>
      </w:r>
    </w:p>
    <w:p>
      <w:pPr>
        <w:pStyle w:val="ListParagraph"/>
        <w:numPr>
          <w:ilvl w:val="0"/>
          <w:numId w:val="2"/>
        </w:numPr>
        <w:spacing w:after="90" w:line="264"/>
        <w:jc w:val="both"/>
      </w:pPr>
      <w:r>
        <w:rPr>
          <w:b/>
          <w:bCs/>
          <w:i w:val="false"/>
          <w:iCs w:val="false"/>
          <w:color w:val="1A1A1A"/>
          <w:sz w:val="22"/>
          <w:szCs w:val="22"/>
        </w:rPr>
        <w:t xml:space="preserve">I3 — Regulation-native market design. </w:t>
      </w:r>
      <w:r>
        <w:rPr>
          <w:b w:val="false"/>
          <w:bCs w:val="false"/>
          <w:i w:val="false"/>
          <w:iCs w:val="false"/>
          <w:color w:val="1A1A1A"/>
          <w:sz w:val="22"/>
          <w:szCs w:val="22"/>
        </w:rPr>
        <w:t xml:space="preserve">Innovation is not only algorithms; it is a market that ships without new law. Households sell under Decree 58/2025 with EVN as sole buyer; stations participate as recognised large consumers under Decree 57/2025; VND-only settlement under Decree 52/2024; peer-to-peer trading is a dormant module awaiting a sandbox, not a launch dependency.</w:t>
      </w:r>
    </w:p>
    <w:p>
      <w:pPr>
        <w:pStyle w:val="ListParagraph"/>
        <w:numPr>
          <w:ilvl w:val="0"/>
          <w:numId w:val="2"/>
        </w:numPr>
        <w:spacing w:after="90" w:line="264"/>
        <w:jc w:val="both"/>
      </w:pPr>
      <w:r>
        <w:rPr>
          <w:b/>
          <w:bCs/>
          <w:i w:val="false"/>
          <w:iCs w:val="false"/>
          <w:color w:val="1A1A1A"/>
          <w:sz w:val="22"/>
          <w:szCs w:val="22"/>
        </w:rPr>
        <w:t xml:space="preserve">I4 — Fairness-aware optimisation. </w:t>
      </w:r>
      <w:r>
        <w:rPr>
          <w:b w:val="false"/>
          <w:bCs w:val="false"/>
          <w:i w:val="false"/>
          <w:iCs w:val="false"/>
          <w:color w:val="1A1A1A"/>
          <w:sz w:val="22"/>
          <w:szCs w:val="22"/>
        </w:rPr>
        <w:t xml:space="preserve">A rejection-credit mechanism guarantees bounded maximum wait — no household is persistently excluded by pure price competition. This equity property is what makes household participation socially sustainable and politically acceptable to a public utility.</w:t>
      </w:r>
    </w:p>
    <w:p>
      <w:pPr>
        <w:pStyle w:val="ListParagraph"/>
        <w:numPr>
          <w:ilvl w:val="0"/>
          <w:numId w:val="2"/>
        </w:numPr>
        <w:spacing w:after="90" w:line="264"/>
        <w:jc w:val="both"/>
      </w:pPr>
      <w:r>
        <w:rPr>
          <w:b/>
          <w:bCs/>
          <w:i w:val="false"/>
          <w:iCs w:val="false"/>
          <w:color w:val="1A1A1A"/>
          <w:sz w:val="22"/>
          <w:szCs w:val="22"/>
        </w:rPr>
        <w:t xml:space="preserve">I5 — Honest AI under data scarcity. </w:t>
      </w:r>
      <w:r>
        <w:rPr>
          <w:b w:val="false"/>
          <w:bCs w:val="false"/>
          <w:i w:val="false"/>
          <w:iCs w:val="false"/>
          <w:color w:val="1A1A1A"/>
          <w:sz w:val="22"/>
          <w:szCs w:val="22"/>
        </w:rPr>
        <w:t xml:space="preserve">Rather than pretending to real training data we do not have, we built a physics-based feeder digital twin (pandapower) driven by real Hanoi irradiance history (Open-Meteo, PVGIS) and published Vietnamese load-research profiles, with a declared transfer-learning path to pilot data. Judges can inspect every assumption — and change it live.</w:t>
      </w:r>
    </w:p>
    <w:p>
      <w:pPr>
        <w:pStyle w:val="Heading2"/>
        <w:spacing w:after="120" w:before="220"/>
      </w:pPr>
      <w:r>
        <w:rPr>
          <w:b/>
          <w:bCs/>
          <w:color w:val="1A1A1A"/>
          <w:sz w:val="25"/>
          <w:szCs w:val="25"/>
        </w:rPr>
        <w:t xml:space="preserve">5.2  Competitive advantage versus Section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Versus…</w:t>
            </w:r>
          </w:p>
        </w:tc>
        <w:tc>
          <w:tcPr>
            <w:tcW w:type="dxa" w:w="65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SolarFlow's differentiation</w:t>
            </w:r>
          </w:p>
        </w:tc>
      </w:tr>
      <w:t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EVN status quo</w:t>
            </w:r>
          </w:p>
        </w:tc>
        <w:tc>
          <w:tcPr>
            <w:tcW w:type="dxa" w:w="6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Minutes-ahead minimal curtailment instead of feeder-wide cuts; households gain agency, visibility and verified payment; operators gain a demand-side lever they have never had</w:t>
            </w:r>
          </w:p>
        </w:tc>
      </w:tr>
      <w:tr>
        <w:tc>
          <w:tcPr>
            <w:tcW w:type="dxa" w:w="2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Home batteries / VPPs</w:t>
            </w:r>
          </w:p>
        </w:tc>
        <w:tc>
          <w:tcPr>
            <w:tcW w:type="dxa" w:w="6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Zero new household hardware — software plus existing meters and inverters; the “battery” is the swap-station fleet that mobility economics already paid for</w:t>
            </w:r>
          </w:p>
        </w:tc>
      </w:tr>
      <w:t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Powerledger-style P2P</w:t>
            </w:r>
          </w:p>
        </w:tc>
        <w:tc>
          <w:tcPr>
            <w:tcW w:type="dxa" w:w="6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Legal in Vietnam today; congestion-physics-aware (trades clear only within real headroom); VND settlement, not tokens</w:t>
            </w:r>
          </w:p>
        </w:tc>
      </w:tr>
      <w:tr>
        <w:tc>
          <w:tcPr>
            <w:tcW w:type="dxa" w:w="2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SOLshare</w:t>
            </w:r>
          </w:p>
        </w:tc>
        <w:tc>
          <w:tcPr>
            <w:tcW w:type="dxa" w:w="6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Serves grid-tied urban feeders under a single buyer — the complementary other half of the market SOLshare pioneered off-grid; we adopt their inclusive-UX bar</w:t>
            </w:r>
          </w:p>
        </w:tc>
      </w:tr>
      <w:t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Piclo-style flexibility markets</w:t>
            </w:r>
          </w:p>
        </w:tc>
        <w:tc>
          <w:tcPr>
            <w:tcW w:type="dxa" w:w="6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Household-scale UX, mobility integration, and an emerging-market cost point (Zalo Mini App, no aggregator prerequisite)</w:t>
            </w:r>
          </w:p>
        </w:tc>
      </w:tr>
      <w:tr>
        <w:tc>
          <w:tcPr>
            <w:tcW w:type="dxa" w:w="2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Uncoordinated smart charging</w:t>
            </w:r>
          </w:p>
        </w:tc>
        <w:tc>
          <w:tcPr>
            <w:tcW w:type="dxa" w:w="6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Charging follows local surplus and transformer state, not just a static national time-of-use table — and stations get paid for it</w:t>
            </w:r>
          </w:p>
        </w:tc>
      </w:tr>
    </w:tbl>
    <w:p>
      <w:pPr>
        <w:spacing w:after="80"/>
      </w:pPr>
    </w:p>
    <w:p>
      <w:pPr>
        <w:pStyle w:val="Heading2"/>
        <w:spacing w:after="120" w:before="220"/>
      </w:pPr>
      <w:r>
        <w:rPr>
          <w:b/>
          <w:bCs/>
          <w:color w:val="1A1A1A"/>
          <w:sz w:val="25"/>
          <w:szCs w:val="25"/>
        </w:rPr>
        <w:t xml:space="preserve">5.3  Feasibility &amp; development plan</w:t>
      </w:r>
    </w:p>
    <w:p>
      <w:pPr>
        <w:pStyle w:val="Heading3"/>
        <w:spacing w:after="90" w:before="160"/>
      </w:pPr>
      <w:r>
        <w:rPr>
          <w:b/>
          <w:bCs/>
          <w:color w:val="0B6E4F"/>
          <w:sz w:val="22"/>
          <w:szCs w:val="22"/>
        </w:rPr>
        <w:t xml:space="preserve">(a) Hackathon phase — what was built in the Online Training Round (2–28 June 2026)</w:t>
      </w:r>
    </w:p>
    <w:p>
      <w:pPr>
        <w:pStyle w:val="ListParagraph"/>
        <w:numPr>
          <w:ilvl w:val="0"/>
          <w:numId w:val="2"/>
        </w:numPr>
        <w:spacing w:after="90" w:line="264"/>
        <w:jc w:val="both"/>
      </w:pPr>
      <w:r>
        <w:rPr>
          <w:b/>
          <w:bCs/>
          <w:i w:val="false"/>
          <w:iCs w:val="false"/>
          <w:color w:val="1A1A1A"/>
          <w:sz w:val="22"/>
          <w:szCs w:val="22"/>
        </w:rPr>
        <w:t xml:space="preserve">Digital twin: </w:t>
      </w:r>
      <w:r>
        <w:rPr>
          <w:b w:val="false"/>
          <w:bCs w:val="false"/>
          <w:i w:val="false"/>
          <w:iCs w:val="false"/>
          <w:color w:val="1A1A1A"/>
          <w:sz w:val="22"/>
          <w:szCs w:val="22"/>
        </w:rPr>
        <w:t xml:space="preserve">a 22 kV feeder with one 400 kVA transformer, 55 households (30 with 3–8 kWp rooftop PV), two swap stations and one e-taxi depot, simulated for 12 months at 15-minute resolution using real Hanoi weather history.</w:t>
      </w:r>
    </w:p>
    <w:p>
      <w:pPr>
        <w:pStyle w:val="ListParagraph"/>
        <w:numPr>
          <w:ilvl w:val="0"/>
          <w:numId w:val="2"/>
        </w:numPr>
        <w:spacing w:after="90" w:line="264"/>
        <w:jc w:val="both"/>
      </w:pPr>
      <w:r>
        <w:rPr>
          <w:b/>
          <w:bCs/>
          <w:i w:val="false"/>
          <w:iCs w:val="false"/>
          <w:color w:val="1A1A1A"/>
          <w:sz w:val="22"/>
          <w:szCs w:val="22"/>
        </w:rPr>
        <w:t xml:space="preserve">GridMind v1: </w:t>
      </w:r>
      <w:r>
        <w:rPr>
          <w:b w:val="false"/>
          <w:bCs w:val="false"/>
          <w:i w:val="false"/>
          <w:iCs w:val="false"/>
          <w:color w:val="1A1A1A"/>
          <w:sz w:val="22"/>
          <w:szCs w:val="22"/>
        </w:rPr>
        <w:t xml:space="preserve">XGBoost congestion classifier (design target F1 ≥ 0.90 on held-out simulated overload events) and LSTM surplus nowcaster (design target MAE ≤ 0.4 kWh/h); final measured metrics are presented live with the confusion matrix on screen.</w:t>
      </w:r>
    </w:p>
    <w:p>
      <w:pPr>
        <w:pStyle w:val="ListParagraph"/>
        <w:numPr>
          <w:ilvl w:val="0"/>
          <w:numId w:val="2"/>
        </w:numPr>
        <w:spacing w:after="90" w:line="264"/>
        <w:jc w:val="both"/>
      </w:pPr>
      <w:r>
        <w:rPr>
          <w:b/>
          <w:bCs/>
          <w:i w:val="false"/>
          <w:iCs w:val="false"/>
          <w:color w:val="1A1A1A"/>
          <w:sz w:val="22"/>
          <w:szCs w:val="22"/>
        </w:rPr>
        <w:t xml:space="preserve">HeadRoom Auction v1: </w:t>
      </w:r>
      <w:r>
        <w:rPr>
          <w:b w:val="false"/>
          <w:bCs w:val="false"/>
          <w:i w:val="false"/>
          <w:iCs w:val="false"/>
          <w:color w:val="1A1A1A"/>
          <w:sz w:val="22"/>
          <w:szCs w:val="22"/>
        </w:rPr>
        <w:t xml:space="preserve">MILP in OR-Tools/CBC; clears 500 bids in under 2 seconds; fairness bound verified by property-based tests.</w:t>
      </w:r>
    </w:p>
    <w:p>
      <w:pPr>
        <w:pStyle w:val="ListParagraph"/>
        <w:numPr>
          <w:ilvl w:val="0"/>
          <w:numId w:val="2"/>
        </w:numPr>
        <w:spacing w:after="90" w:line="264"/>
        <w:jc w:val="both"/>
      </w:pPr>
      <w:r>
        <w:rPr>
          <w:b/>
          <w:bCs/>
          <w:i w:val="false"/>
          <w:iCs w:val="false"/>
          <w:color w:val="1A1A1A"/>
          <w:sz w:val="22"/>
          <w:szCs w:val="22"/>
        </w:rPr>
        <w:t xml:space="preserve">FlexMatch v1: </w:t>
      </w:r>
      <w:r>
        <w:rPr>
          <w:b w:val="false"/>
          <w:bCs w:val="false"/>
          <w:i w:val="false"/>
          <w:iCs w:val="false"/>
          <w:color w:val="1A1A1A"/>
          <w:sz w:val="22"/>
          <w:szCs w:val="22"/>
        </w:rPr>
        <w:t xml:space="preserve">station scheduling agent, absorption-credit accounting, and the counterfactual engine that quantifies “curtailment avoided vs. do-nothing” for every window.</w:t>
      </w:r>
    </w:p>
    <w:p>
      <w:pPr>
        <w:pStyle w:val="ListParagraph"/>
        <w:numPr>
          <w:ilvl w:val="0"/>
          <w:numId w:val="2"/>
        </w:numPr>
        <w:spacing w:after="90" w:line="264"/>
        <w:jc w:val="both"/>
      </w:pPr>
      <w:r>
        <w:rPr>
          <w:b/>
          <w:bCs/>
          <w:i w:val="false"/>
          <w:iCs w:val="false"/>
          <w:color w:val="1A1A1A"/>
          <w:sz w:val="22"/>
          <w:szCs w:val="22"/>
        </w:rPr>
        <w:t xml:space="preserve">TrustLedger v1 + apps: </w:t>
      </w:r>
      <w:r>
        <w:rPr>
          <w:b w:val="false"/>
          <w:bCs w:val="false"/>
          <w:i w:val="false"/>
          <w:iCs w:val="false"/>
          <w:color w:val="1A1A1A"/>
          <w:sz w:val="22"/>
          <w:szCs w:val="22"/>
        </w:rPr>
        <w:t xml:space="preserve">hash-chained audit log with a 3-org Hyperledger Fabric demo network; sandbox e-wallet payout flow; Zalo Mini App household prototype; Next.js + Mapbox operator console.</w:t>
      </w:r>
    </w:p>
    <w:p>
      <w:pPr>
        <w:pStyle w:val="Heading3"/>
        <w:spacing w:after="90" w:before="160"/>
      </w:pPr>
      <w:r>
        <w:rPr>
          <w:b/>
          <w:bCs/>
          <w:color w:val="0B6E4F"/>
          <w:sz w:val="22"/>
          <w:szCs w:val="22"/>
        </w:rPr>
        <w:t xml:space="preserve">(b) Final Round demonstration plan (2–5 July 2026) — the live demo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Scene</w:t>
            </w:r>
          </w:p>
        </w:tc>
        <w:tc>
          <w:tcPr>
            <w:tcW w:type="dxa" w:w="71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What the judges see</w:t>
            </w:r>
          </w:p>
        </w:tc>
      </w:tr>
      <w:t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0 — Hook (30 s)</w:t>
            </w:r>
          </w:p>
        </w:tc>
        <w:tc>
          <w:tcPr>
            <w:tcW w:type="dxa" w:w="71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Split screen: real April-2026 curtailment headline beside a coal-heavy 19:00 grid-mix dial. “Vietnam throws away clean power at noon and charges its clean vehicles on coal at night.”</w:t>
            </w:r>
          </w:p>
        </w:tc>
      </w:tr>
      <w:tr>
        <w:tc>
          <w:tcPr>
            <w:tcW w:type="dxa" w:w="19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1 — Baseline day</w:t>
            </w:r>
          </w:p>
        </w:tc>
        <w:tc>
          <w:tcPr>
            <w:tcW w:type="dxa" w:w="71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The twin runs a sunny Sunday with SolarFlow OFF: the transformer breaches its limit at 12:10, the feeder is cut, the “clean energy wasted” counter climbs, households' apps show nothing — exactly today's reality.</w:t>
            </w:r>
          </w:p>
        </w:tc>
      </w:tr>
      <w:t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2 — SolarFlow ON</w:t>
            </w:r>
          </w:p>
        </w:tc>
        <w:tc>
          <w:tcPr>
            <w:tcW w:type="dxa" w:w="71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Same day, platform on: 45-minute-ahead warning → auction allocates headroom → FlexMatch ramps two swap stations → no breach. Live counters: kWh saved, kg CO₂ avoided, VND paid, fairness index.</w:t>
            </w:r>
          </w:p>
        </w:tc>
      </w:tr>
      <w:tr>
        <w:tc>
          <w:tcPr>
            <w:tcW w:type="dxa" w:w="19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3 — Judge-in-the-loop</w:t>
            </w:r>
          </w:p>
        </w:tc>
        <w:tc>
          <w:tcPr>
            <w:tcW w:type="dxa" w:w="71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A judge drags a storm front across the map (forecasts and allocations re-clear in seconds) and injects a fraudulent 8 kWh bid from a home whose physical maximum is 3.2 kWh — Sentinel flags it, the auction re-clears, payment is blocked.</w:t>
            </w:r>
          </w:p>
        </w:tc>
      </w:tr>
      <w:t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4 — Settlement proof</w:t>
            </w:r>
          </w:p>
        </w:tc>
        <w:tc>
          <w:tcPr>
            <w:tcW w:type="dxa" w:w="71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Meter reconciliation → VND credit lands in a sandbox e-wallet → judge scans a QR to independently verify the window's hash on the audit ledger.</w:t>
            </w:r>
          </w:p>
        </w:tc>
      </w:tr>
      <w:tr>
        <w:tc>
          <w:tcPr>
            <w:tcW w:type="dxa" w:w="19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5 — Rider moment</w:t>
            </w:r>
          </w:p>
        </w:tc>
        <w:tc>
          <w:tcPr>
            <w:tcW w:type="dxa" w:w="71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The household app and the rider app side by side: “Bán 3,1 kWh — +2.170đ” meets “Pin nạp lúc 12:10 — 98% solar.” One tap of a physical swap battery on the table closes the story.</w:t>
            </w:r>
          </w:p>
        </w:tc>
      </w:tr>
    </w:tbl>
    <w:p>
      <w:pPr>
        <w:spacing w:after="80"/>
      </w:pPr>
    </w:p>
    <w:p>
      <w:pPr>
        <w:pStyle w:val="Heading3"/>
        <w:spacing w:after="90" w:before="160"/>
      </w:pPr>
      <w:r>
        <w:rPr>
          <w:b/>
          <w:bCs/>
          <w:color w:val="0B6E4F"/>
          <w:sz w:val="22"/>
          <w:szCs w:val="22"/>
        </w:rPr>
        <w:t xml:space="preserve">(c) Post-hackathon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2976"/>
      </w:tblGrid>
      <w:tr>
        <w:trPr>
          <w:tblHeader/>
        </w:trPr>
        <w:tc>
          <w:tcPr>
            <w:tcW w:type="dxa" w:w="175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When</w:t>
            </w:r>
          </w:p>
        </w:tc>
        <w:tc>
          <w:tcPr>
            <w:tcW w:type="dxa" w:w="43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Milestone</w:t>
            </w:r>
          </w:p>
        </w:tc>
        <w:tc>
          <w:tcPr>
            <w:tcW w:type="dxa" w:w="297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Success metric</w:t>
            </w:r>
          </w:p>
        </w:tc>
      </w:tr>
      <w:tr>
        <w:tc>
          <w:tcPr>
            <w:tcW w:type="dxa" w:w="17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Q3 2026</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Shadow pilot: read-only deployment on one EVNHANOI feeder (mentor-facilitated via VinUniversity industry network) + MoU with one swap-network partner (Selex / VinFast / Honda ecosystem)</w:t>
            </w:r>
          </w:p>
        </w:tc>
        <w:tc>
          <w:tcPr>
            <w:tcW w:type="dxa" w:w="29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Forecast skill on real telemetry: congestion F1 ≥ 0.85; surplus MAE ≤ 0.6 kWh/h</w:t>
            </w:r>
          </w:p>
        </w:tc>
      </w:tr>
      <w:tr>
        <w:tc>
          <w:tcPr>
            <w:tcW w:type="dxa" w:w="17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Q4 2026</w:t>
            </w:r>
          </w:p>
        </w:tc>
        <w:tc>
          <w:tcPr>
            <w:tcW w:type="dxa" w:w="4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Hardware-in-the-loop: 20 volunteer homes via inverter cloud APIs; station scheduling honoured by one pilot station</w:t>
            </w:r>
          </w:p>
        </w:tc>
        <w:tc>
          <w:tcPr>
            <w:tcW w:type="dxa" w:w="297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 70% of station energy shifted into solar window on trial days</w:t>
            </w:r>
          </w:p>
        </w:tc>
      </w:tr>
      <w:tr>
        <w:tc>
          <w:tcPr>
            <w:tcW w:type="dxa" w:w="17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H1 2027</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Sandbox pilot with real money: 200 households + 10 stations, EVN as settlement counterparty, under Electricity Law 2024 pilot mechanisms</w:t>
            </w:r>
          </w:p>
        </w:tc>
        <w:tc>
          <w:tcPr>
            <w:tcW w:type="dxa" w:w="29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 60% of previously-curtailed kWh recovered; payment T+1; zero settlement disputes</w:t>
            </w:r>
          </w:p>
        </w:tc>
      </w:tr>
      <w:tr>
        <w:tc>
          <w:tcPr>
            <w:tcW w:type="dxa" w:w="17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H2 2027</w:t>
            </w:r>
          </w:p>
        </w:tc>
        <w:tc>
          <w:tcPr>
            <w:tcW w:type="dxa" w:w="4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City scale: 1,000 constrained transformers in Hanoi; DPPA module for C&amp;I rooftops and large charging consumers</w:t>
            </w:r>
          </w:p>
        </w:tc>
        <w:tc>
          <w:tcPr>
            <w:tcW w:type="dxa" w:w="297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15–19 GWh/yr recovered; documented transformer-upgrade deferrals</w:t>
            </w:r>
          </w:p>
        </w:tc>
      </w:tr>
      <w:tr>
        <w:tc>
          <w:tcPr>
            <w:tcW w:type="dxa" w:w="17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2028</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Second city (Da Nang or HCMC, where a 1,000-station swap pilot is under consultation); P2P module behind a regulatory feature-flag</w:t>
            </w:r>
          </w:p>
        </w:tc>
        <w:tc>
          <w:tcPr>
            <w:tcW w:type="dxa" w:w="29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Playbook replicated with &lt; 20% code change</w:t>
            </w:r>
          </w:p>
        </w:tc>
      </w:tr>
      <w:tr>
        <w:tc>
          <w:tcPr>
            <w:tcW w:type="dxa" w:w="17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2029+</w:t>
            </w:r>
          </w:p>
        </w:tc>
        <w:tc>
          <w:tcPr>
            <w:tcW w:type="dxa" w:w="43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ASEAN localisation: Thailand (net-billing), Indonesia, Philippines — grid codes, currencies and tariffs as configuration, not re-architecture</w:t>
            </w:r>
          </w:p>
        </w:tc>
        <w:tc>
          <w:tcPr>
            <w:tcW w:type="dxa" w:w="297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First international pilot signed</w:t>
            </w:r>
          </w:p>
        </w:tc>
      </w:tr>
    </w:tbl>
    <w:p>
      <w:pPr>
        <w:spacing w:after="80"/>
      </w:pPr>
    </w:p>
    <w:p>
      <w:pPr>
        <w:pStyle w:val="Heading3"/>
        <w:spacing w:after="90" w:before="160"/>
      </w:pPr>
      <w:r>
        <w:rPr>
          <w:b/>
          <w:bCs/>
          <w:color w:val="0B6E4F"/>
          <w:sz w:val="22"/>
          <w:szCs w:val="22"/>
        </w:rPr>
        <w:t xml:space="preserve">(d) Real-world feasibility assessment</w:t>
      </w:r>
    </w:p>
    <w:p>
      <w:pPr>
        <w:pStyle w:val="ListParagraph"/>
        <w:numPr>
          <w:ilvl w:val="0"/>
          <w:numId w:val="2"/>
        </w:numPr>
        <w:spacing w:after="90" w:line="264"/>
        <w:jc w:val="both"/>
      </w:pPr>
      <w:r>
        <w:rPr>
          <w:b/>
          <w:bCs/>
          <w:i w:val="false"/>
          <w:iCs w:val="false"/>
          <w:color w:val="1A1A1A"/>
          <w:sz w:val="22"/>
          <w:szCs w:val="22"/>
        </w:rPr>
        <w:t xml:space="preserve">Technical: </w:t>
      </w:r>
      <w:r>
        <w:rPr>
          <w:b w:val="false"/>
          <w:bCs w:val="false"/>
          <w:i w:val="false"/>
          <w:iCs w:val="false"/>
          <w:color w:val="1A1A1A"/>
          <w:sz w:val="22"/>
          <w:szCs w:val="22"/>
        </w:rPr>
        <w:t xml:space="preserve">every component is a well-understood problem class (short-horizon time-series forecasting; MILP allocation; event-sourced settlement) on a commodity stack. Metering is de-risked by a dual data path: EVN's urban smart-meter estate where available, and 5-minute inverter cloud APIs (Growatt, Huawei, SMA, Solis) everywhere else. The demo runs fully offline on one laptop.</w:t>
      </w:r>
    </w:p>
    <w:p>
      <w:pPr>
        <w:pStyle w:val="ListParagraph"/>
        <w:numPr>
          <w:ilvl w:val="0"/>
          <w:numId w:val="2"/>
        </w:numPr>
        <w:spacing w:after="90" w:line="264"/>
        <w:jc w:val="both"/>
      </w:pPr>
      <w:r>
        <w:rPr>
          <w:b/>
          <w:bCs/>
          <w:i w:val="false"/>
          <w:iCs w:val="false"/>
          <w:color w:val="1A1A1A"/>
          <w:sz w:val="22"/>
          <w:szCs w:val="22"/>
        </w:rPr>
        <w:t xml:space="preserve">Regulatory: </w:t>
      </w:r>
      <w:r>
        <w:rPr>
          <w:b w:val="false"/>
          <w:bCs w:val="false"/>
          <w:i w:val="false"/>
          <w:iCs w:val="false"/>
          <w:color w:val="1A1A1A"/>
          <w:sz w:val="22"/>
          <w:szCs w:val="22"/>
        </w:rPr>
        <w:t xml:space="preserve">SolarFlow sells intelligence and orchestration to the utility and operators — not electricity — so it deploys today inside the single-buyer model. The three legal anchors: Decree 58/2025 + Decision 429/QD-EVN (household surplus, EVN sole buyer), Decree 57/2025 (charging providers as large DPPA consumers), Decree 52/2024 (VND non-cash settlement). P2P remains optional and dormant until a sandbox opens.</w:t>
      </w:r>
    </w:p>
    <w:p>
      <w:pPr>
        <w:pStyle w:val="ListParagraph"/>
        <w:numPr>
          <w:ilvl w:val="0"/>
          <w:numId w:val="2"/>
        </w:numPr>
        <w:spacing w:after="90" w:line="264"/>
        <w:jc w:val="both"/>
      </w:pPr>
      <w:r>
        <w:rPr>
          <w:b/>
          <w:bCs/>
          <w:i w:val="false"/>
          <w:iCs w:val="false"/>
          <w:color w:val="1A1A1A"/>
          <w:sz w:val="22"/>
          <w:szCs w:val="22"/>
        </w:rPr>
        <w:t xml:space="preserve">Economic: </w:t>
      </w:r>
      <w:r>
        <w:rPr>
          <w:b w:val="false"/>
          <w:bCs w:val="false"/>
          <w:i w:val="false"/>
          <w:iCs w:val="false"/>
          <w:color w:val="1A1A1A"/>
          <w:sz w:val="22"/>
          <w:szCs w:val="22"/>
        </w:rPr>
        <w:t xml:space="preserve">revenue is SaaS to distribution utilities (curtailment reduction plus documented deferral of transformer reinforcement), a small take-rate on FlexMatch absorption credits, and station subscriptions. Households pay nothing — non-negotiable for adoption and equity.</w:t>
      </w:r>
    </w:p>
    <w:p>
      <w:pPr>
        <w:pStyle w:val="ListParagraph"/>
        <w:numPr>
          <w:ilvl w:val="0"/>
          <w:numId w:val="2"/>
        </w:numPr>
        <w:spacing w:after="90" w:line="264"/>
        <w:jc w:val="both"/>
      </w:pPr>
      <w:r>
        <w:rPr>
          <w:b/>
          <w:bCs/>
          <w:i w:val="false"/>
          <w:iCs w:val="false"/>
          <w:color w:val="1A1A1A"/>
          <w:sz w:val="22"/>
          <w:szCs w:val="22"/>
        </w:rPr>
        <w:t xml:space="preserve">Social: </w:t>
      </w:r>
      <w:r>
        <w:rPr>
          <w:b w:val="false"/>
          <w:bCs w:val="false"/>
          <w:i w:val="false"/>
          <w:iCs w:val="false"/>
          <w:color w:val="1A1A1A"/>
          <w:sz w:val="22"/>
          <w:szCs w:val="22"/>
        </w:rPr>
        <w:t xml:space="preserve">Auto-Sell mode plus Zalo delivery lowers the digital-literacy barrier to near zero; the fairness bound and the verifiable ledger build the trust a money-touching platform must earn; the full stack is Apache-2.0 open source for public audit.</w:t>
      </w:r>
    </w:p>
    <w:p>
      <w:pPr>
        <w:pStyle w:val="Heading3"/>
        <w:spacing w:after="90" w:before="160"/>
      </w:pPr>
      <w:r>
        <w:rPr>
          <w:b/>
          <w:bCs/>
          <w:color w:val="0B6E4F"/>
          <w:sz w:val="22"/>
          <w:szCs w:val="22"/>
        </w:rPr>
        <w:t xml:space="preserve">Key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Risk</w:t>
            </w:r>
          </w:p>
        </w:tc>
        <w:tc>
          <w:tcPr>
            <w:tcW w:type="dxa" w:w="59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Mitigation</w:t>
            </w:r>
          </w:p>
        </w:tc>
      </w:tr>
      <w:tr>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Regulation evolves slower than hoped (no sandbox for market features)</w:t>
            </w:r>
          </w:p>
        </w:tc>
        <w:tc>
          <w:tcPr>
            <w:tcW w:type="dxa" w:w="59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Value proposition #1 — predictive minimal curtailment — needs no market at all: it is a pure operations tool EVN can adopt unilaterally. The market layers activate as regulation permits.</w:t>
            </w:r>
          </w:p>
        </w:tc>
      </w:tr>
      <w:tr>
        <w:tc>
          <w:tcPr>
            <w:tcW w:type="dxa" w:w="31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Sim-to-real transfer gap in forecasting models</w:t>
            </w:r>
          </w:p>
        </w:tc>
        <w:tc>
          <w:tcPr>
            <w:tcW w:type="dxa" w:w="59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Shadow pilot before any money moves; transfer learning on real telemetry; conservative safety margin (allocate ≤ 90% of forecast headroom); operator override always wins — human-in-command by design.</w:t>
            </w:r>
          </w:p>
        </w:tc>
      </w:tr>
      <w:tr>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Household adoption friction</w:t>
            </w:r>
          </w:p>
        </w:tc>
        <w:tc>
          <w:tcPr>
            <w:tcW w:type="dxa" w:w="59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Zalo Mini App (no install), default Auto-Sell, installers as the distribution channel (they already own the customer relationship), money-first Vietnamese UX tested with non-technical users.</w:t>
            </w:r>
          </w:p>
        </w:tc>
      </w:tr>
      <w:tr>
        <w:tc>
          <w:tcPr>
            <w:tcW w:type="dxa" w:w="31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Swap-partner dependency</w:t>
            </w:r>
          </w:p>
        </w:tc>
        <w:tc>
          <w:tcPr>
            <w:tcW w:type="dxa" w:w="59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Open station API from day one; three candidate ecosystems (VinFast, Selex, Honda) rather than one; e-taxi depots and pre-cooling businesses as alternative demand-side anchors.</w:t>
            </w:r>
          </w:p>
        </w:tc>
      </w:tr>
      <w:tr>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Meter latency or data gaps</w:t>
            </w:r>
          </w:p>
        </w:tc>
        <w:tc>
          <w:tcPr>
            <w:tcW w:type="dxa" w:w="59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Inverter-API fallback; daily-batch settlement mode; disputes resolved against the signed ledger trail.</w:t>
            </w:r>
          </w:p>
        </w:tc>
      </w:tr>
    </w:tbl>
    <w:p>
      <w:r>
        <w:br w:type="page"/>
      </w:r>
    </w:p>
    <w:p>
      <w:pPr>
        <w:pStyle w:val="Heading1"/>
        <w:spacing w:after="160" w:before="320"/>
      </w:pPr>
      <w:r>
        <w:rPr>
          <w:b/>
          <w:bCs/>
          <w:color w:val="0B6E4F"/>
          <w:sz w:val="30"/>
          <w:szCs w:val="30"/>
        </w:rPr>
        <w:t xml:space="preserve">6.  TARGET GROUPS &amp; POTENTIAL IMPACT</w:t>
      </w:r>
    </w:p>
    <w:p>
      <w:pPr>
        <w:pStyle w:val="Heading2"/>
        <w:spacing w:after="120" w:before="220"/>
      </w:pPr>
      <w:r>
        <w:rPr>
          <w:b/>
          <w:bCs/>
          <w:color w:val="1A1A1A"/>
          <w:sz w:val="25"/>
          <w:szCs w:val="25"/>
        </w:rPr>
        <w:t xml:space="preserve">6.1  Target audience — who uses SolarFlow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3750"/>
        <w:gridCol w:w="2826"/>
      </w:tblGrid>
      <w:tr>
        <w:trPr>
          <w:tblHeader/>
        </w:trPr>
        <w:tc>
          <w:tcPr>
            <w:tcW w:type="dxa" w:w="245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End-user group</w:t>
            </w:r>
          </w:p>
        </w:tc>
        <w:tc>
          <w:tcPr>
            <w:tcW w:type="dxa" w:w="375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Definition &amp; entry point</w:t>
            </w:r>
          </w:p>
        </w:tc>
        <w:tc>
          <w:tcPr>
            <w:tcW w:type="dxa" w:w="28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What they get</w:t>
            </w:r>
          </w:p>
        </w:tc>
      </w:tr>
      <w:tr>
        <w:tc>
          <w:tcPr>
            <w:tcW w:type="dxa" w:w="2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U1 — Prosumer households</w:t>
            </w:r>
          </w:p>
        </w:tc>
        <w:tc>
          <w:tcPr>
            <w:tcW w:type="dxa" w:w="37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Owners of &lt; 100 kW rooftop systems (Decree 58/2025); initial focus: Hanoi urban &amp; peri-urban homes with 3–10 kWp</w:t>
            </w:r>
          </w:p>
        </w:tc>
        <w:tc>
          <w:tcPr>
            <w:tcW w:type="dxa" w:w="28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One switch turns wasted kWh into VND; visibility and a fair queue instead of silent curtailment</w:t>
            </w:r>
          </w:p>
        </w:tc>
      </w:tr>
      <w:tr>
        <w:tc>
          <w:tcPr>
            <w:tcW w:type="dxa" w:w="24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U2 — EV energy operators</w:t>
            </w:r>
          </w:p>
        </w:tc>
        <w:tc>
          <w:tcPr>
            <w:tcW w:type="dxa" w:w="37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Battery-swap stations (VinFast / Selex / Honda ecosystems), e-taxi and e-bus depots, delivery fleets electrifying under the LEZ</w:t>
            </w:r>
          </w:p>
        </w:tc>
        <w:tc>
          <w:tcPr>
            <w:tcW w:type="dxa" w:w="28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Cheaper, greener charging windows; absorption credits; “verified solar km” as a marketable service</w:t>
            </w:r>
          </w:p>
        </w:tc>
      </w:tr>
      <w:tr>
        <w:tc>
          <w:tcPr>
            <w:tcW w:type="dxa" w:w="2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U3 — Distribution utilities</w:t>
            </w:r>
          </w:p>
        </w:tc>
        <w:tc>
          <w:tcPr>
            <w:tcW w:type="dxa" w:w="37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EVNHANOI first; then other EVN power corporations and NSMO/NLDC</w:t>
            </w:r>
          </w:p>
        </w:tc>
        <w:tc>
          <w:tcPr>
            <w:tcW w:type="dxa" w:w="28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A congestion co-pilot: forecasts, minimal curtailment, demand steering, and deferral of reinforcement capex</w:t>
            </w:r>
          </w:p>
        </w:tc>
      </w:tr>
      <w:tr>
        <w:tc>
          <w:tcPr>
            <w:tcW w:type="dxa" w:w="24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U4 — EV riders (indirect)</w:t>
            </w:r>
          </w:p>
        </w:tc>
        <w:tc>
          <w:tcPr>
            <w:tcW w:type="dxa" w:w="37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Ride-hailing and delivery drivers required to electrify inside the LEZ; commuters</w:t>
            </w:r>
          </w:p>
        </w:tc>
        <w:tc>
          <w:tcPr>
            <w:tcW w:type="dxa" w:w="28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Lower swap prices over time and a trustworthy green claim for every ride</w:t>
            </w:r>
          </w:p>
        </w:tc>
      </w:tr>
      <w:tr>
        <w:tc>
          <w:tcPr>
            <w:tcW w:type="dxa" w:w="2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Later phases</w:t>
            </w:r>
          </w:p>
        </w:tc>
        <w:tc>
          <w:tcPr>
            <w:tcW w:type="dxa" w:w="37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Building managers (pre-cooling), C&amp;I rooftops via DPPA, city environment departments</w:t>
            </w:r>
          </w:p>
        </w:tc>
        <w:tc>
          <w:tcPr>
            <w:tcW w:type="dxa" w:w="28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LEZ green-charging dashboards; corporate RE procurement at feeder level</w:t>
            </w:r>
          </w:p>
        </w:tc>
      </w:tr>
    </w:tbl>
    <w:p>
      <w:pPr>
        <w:spacing w:after="80"/>
      </w:pPr>
    </w:p>
    <w:p>
      <w:pPr>
        <w:pStyle w:val="Heading2"/>
        <w:spacing w:after="120" w:before="220"/>
      </w:pPr>
      <w:r>
        <w:rPr>
          <w:b/>
          <w:bCs/>
          <w:color w:val="1A1A1A"/>
          <w:sz w:val="25"/>
          <w:szCs w:val="25"/>
        </w:rPr>
        <w:t xml:space="preserve">6.2  Potential impact — quantified, with every assumption on the table</w:t>
      </w:r>
    </w:p>
    <w:p>
      <w:pPr>
        <w:spacing w:after="140" w:before="0" w:line="276"/>
        <w:jc w:val="both"/>
      </w:pPr>
      <w:r>
        <w:rPr>
          <w:b w:val="false"/>
          <w:bCs w:val="false"/>
          <w:i w:val="false"/>
          <w:iCs w:val="false"/>
          <w:color w:val="1A1A1A"/>
          <w:sz w:val="22"/>
          <w:szCs w:val="22"/>
        </w:rPr>
        <w:t xml:space="preserve">We show the arithmetic rather than asserting headline numbers; all parameters are adjustable live in the demo's assumption panel.</w:t>
      </w:r>
    </w:p>
    <w:p>
      <w:pPr>
        <w:pStyle w:val="Heading3"/>
        <w:spacing w:after="90" w:before="160"/>
      </w:pPr>
      <w:r>
        <w:rPr>
          <w:b/>
          <w:bCs/>
          <w:color w:val="0B6E4F"/>
          <w:sz w:val="22"/>
          <w:szCs w:val="22"/>
        </w:rPr>
        <w:t xml:space="preserve">Environmental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600"/>
        <w:gridCol w:w="3526"/>
      </w:tblGrid>
      <w:tr>
        <w:trPr>
          <w:tblHeader/>
        </w:trPr>
        <w:tc>
          <w:tcPr>
            <w:tcW w:type="dxa" w:w="39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Parameter</w:t>
            </w:r>
          </w:p>
        </w:tc>
        <w:tc>
          <w:tcPr>
            <w:tcW w:type="dxa" w:w="16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Value</w:t>
            </w:r>
          </w:p>
        </w:tc>
        <w:tc>
          <w:tcPr>
            <w:tcW w:type="dxa" w:w="35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Basis</w:t>
            </w:r>
          </w:p>
        </w:tc>
      </w:tr>
      <w:tr>
        <w:tc>
          <w:tcPr>
            <w:tcW w:type="dxa" w:w="3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PV homes per constrained 400 kVA transformer</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30 × 5 kWp</w:t>
            </w:r>
          </w:p>
        </w:tc>
        <w:tc>
          <w:tcPr>
            <w:tcW w:type="dxa" w:w="3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Digital-twin neighbourhood; typical urban Hanoi density</w:t>
            </w:r>
          </w:p>
        </w:tc>
      </w:tr>
      <w:tr>
        <w:tc>
          <w:tcPr>
            <w:tcW w:type="dxa" w:w="39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Specific yield (Hanoi)</w:t>
            </w:r>
          </w:p>
        </w:tc>
        <w:tc>
          <w:tcPr>
            <w:tcW w:type="dxa" w:w="16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 1,050 kWh/kWp·yr</w:t>
            </w:r>
          </w:p>
        </w:tc>
        <w:tc>
          <w:tcPr>
            <w:tcW w:type="dxa" w:w="3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PVGIS / Open-Meteo climatology</w:t>
            </w:r>
          </w:p>
        </w:tc>
      </w:tr>
      <w:tr>
        <w:tc>
          <w:tcPr>
            <w:tcW w:type="dxa" w:w="3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Share currently lost to curtailment on constrained feeders</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15% (band 10–20%)</w:t>
            </w:r>
          </w:p>
        </w:tc>
        <w:tc>
          <w:tcPr>
            <w:tcW w:type="dxa" w:w="3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Conservative reading of reported weekend/holiday and routine weekday curtailment</w:t>
            </w:r>
          </w:p>
        </w:tc>
      </w:tr>
      <w:tr>
        <w:tc>
          <w:tcPr>
            <w:tcW w:type="dxa" w:w="39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Curtailed energy per transformer</w:t>
            </w:r>
          </w:p>
        </w:tc>
        <w:tc>
          <w:tcPr>
            <w:tcW w:type="dxa" w:w="16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 24 MWh/yr</w:t>
            </w:r>
          </w:p>
        </w:tc>
        <w:tc>
          <w:tcPr>
            <w:tcW w:type="dxa" w:w="3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30 × 5 × 1,050 × 15%</w:t>
            </w:r>
          </w:p>
        </w:tc>
      </w:tr>
      <w:tr>
        <w:tc>
          <w:tcPr>
            <w:tcW w:type="dxa" w:w="3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SolarFlow recovery rate</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60–80%</w:t>
            </w:r>
          </w:p>
        </w:tc>
        <w:tc>
          <w:tcPr>
            <w:tcW w:type="dxa" w:w="3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Headroom auction + FlexMatch absorption in twin experiments</w:t>
            </w:r>
          </w:p>
        </w:tc>
      </w:tr>
      <w:tr>
        <w:tc>
          <w:tcPr>
            <w:tcW w:type="dxa" w:w="39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Recovered clean energy</w:t>
            </w:r>
          </w:p>
        </w:tc>
        <w:tc>
          <w:tcPr>
            <w:tcW w:type="dxa" w:w="16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15–19 MWh/yr per transformer</w:t>
            </w:r>
          </w:p>
        </w:tc>
        <w:tc>
          <w:tcPr>
            <w:tcW w:type="dxa" w:w="3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Product of the above</w:t>
            </w:r>
          </w:p>
        </w:tc>
      </w:tr>
      <w:tr>
        <w:tc>
          <w:tcPr>
            <w:tcW w:type="dxa" w:w="3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Grid emission factor</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 0.65 tCO₂/MWh</w:t>
            </w:r>
          </w:p>
        </w:tc>
        <w:tc>
          <w:tcPr>
            <w:tcW w:type="dxa" w:w="3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Latest officially announced Vietnam grid factor (order of magnitude)</w:t>
            </w:r>
          </w:p>
        </w:tc>
      </w:tr>
    </w:tbl>
    <w:p>
      <w:pPr>
        <w:spacing w:after="80"/>
      </w:pPr>
    </w:p>
    <w:p>
      <w:pPr>
        <w:pStyle w:val="ListParagraph"/>
        <w:numPr>
          <w:ilvl w:val="0"/>
          <w:numId w:val="2"/>
        </w:numPr>
        <w:spacing w:after="90" w:line="264"/>
        <w:jc w:val="both"/>
      </w:pPr>
      <w:r>
        <w:rPr>
          <w:b/>
          <w:bCs/>
          <w:i w:val="false"/>
          <w:iCs w:val="false"/>
          <w:color w:val="1A1A1A"/>
          <w:sz w:val="22"/>
          <w:szCs w:val="22"/>
        </w:rPr>
        <w:t xml:space="preserve">Hanoi rollout (1,000 constrained transformers): </w:t>
      </w:r>
      <w:r>
        <w:rPr>
          <w:b w:val="false"/>
          <w:bCs w:val="false"/>
          <w:i w:val="false"/>
          <w:iCs w:val="false"/>
          <w:color w:val="1A1A1A"/>
          <w:sz w:val="22"/>
          <w:szCs w:val="22"/>
        </w:rPr>
        <w:t xml:space="preserve">15–19 GWh/yr recovered ≈ 10,000–12,500 tCO₂/yr — before PDP8 doubles-to-quadruples the solar fleet and multiplies the addressable loss.</w:t>
      </w:r>
    </w:p>
    <w:p>
      <w:pPr>
        <w:pStyle w:val="ListParagraph"/>
        <w:numPr>
          <w:ilvl w:val="0"/>
          <w:numId w:val="2"/>
        </w:numPr>
        <w:spacing w:after="90" w:line="264"/>
        <w:jc w:val="both"/>
      </w:pPr>
      <w:r>
        <w:rPr>
          <w:b/>
          <w:bCs/>
          <w:i w:val="false"/>
          <w:iCs w:val="false"/>
          <w:color w:val="1A1A1A"/>
          <w:sz w:val="22"/>
          <w:szCs w:val="22"/>
        </w:rPr>
        <w:t xml:space="preserve">National scenario (20,000 constrained transformers by 2030): </w:t>
      </w:r>
      <w:r>
        <w:rPr>
          <w:b w:val="false"/>
          <w:bCs w:val="false"/>
          <w:i w:val="false"/>
          <w:iCs w:val="false"/>
          <w:color w:val="1A1A1A"/>
          <w:sz w:val="22"/>
          <w:szCs w:val="22"/>
        </w:rPr>
        <w:t xml:space="preserve">300–380 GWh/yr ≈ 200,000–250,000 tCO₂/yr from the supply side alone.</w:t>
      </w:r>
    </w:p>
    <w:p>
      <w:pPr>
        <w:pStyle w:val="ListParagraph"/>
        <w:numPr>
          <w:ilvl w:val="0"/>
          <w:numId w:val="2"/>
        </w:numPr>
        <w:spacing w:after="90" w:line="264"/>
        <w:jc w:val="both"/>
      </w:pPr>
      <w:r>
        <w:rPr>
          <w:b/>
          <w:bCs/>
          <w:i w:val="false"/>
          <w:iCs w:val="false"/>
          <w:color w:val="1A1A1A"/>
          <w:sz w:val="22"/>
          <w:szCs w:val="22"/>
        </w:rPr>
        <w:t xml:space="preserve">Mobility side: </w:t>
      </w:r>
      <w:r>
        <w:rPr>
          <w:b w:val="false"/>
          <w:bCs w:val="false"/>
          <w:i w:val="false"/>
          <w:iCs w:val="false"/>
          <w:color w:val="1A1A1A"/>
          <w:sz w:val="22"/>
          <w:szCs w:val="22"/>
        </w:rPr>
        <w:t xml:space="preserve">replacing 450,000 petrol bikes creates ≈ 100 GWh/yr of new Hanoi charging demand. Steering even a realistic 20–30% of it into the solar window (vs. the coal-heavy evening margin of ≈ 0.8–0.9 kgCO₂/kWh) avoids a further ≈ 16,000–27,000 tCO₂/yr — and each midday-charged swap is ≈ 1 kg CO₂ avoided, a number simple enough to print on the rider's receipt. Air-quality co-benefits accrue exactly where the LEZ needs them.</w:t>
      </w:r>
    </w:p>
    <w:p>
      <w:pPr>
        <w:pStyle w:val="Heading3"/>
        <w:spacing w:after="90" w:before="160"/>
      </w:pPr>
      <w:r>
        <w:rPr>
          <w:b/>
          <w:bCs/>
          <w:color w:val="0B6E4F"/>
          <w:sz w:val="22"/>
          <w:szCs w:val="22"/>
        </w:rPr>
        <w:t xml:space="preserve">Economic</w:t>
      </w:r>
    </w:p>
    <w:p>
      <w:pPr>
        <w:pStyle w:val="ListParagraph"/>
        <w:numPr>
          <w:ilvl w:val="0"/>
          <w:numId w:val="2"/>
        </w:numPr>
        <w:spacing w:after="90" w:line="264"/>
        <w:jc w:val="both"/>
      </w:pPr>
      <w:r>
        <w:rPr>
          <w:b/>
          <w:bCs/>
          <w:i w:val="false"/>
          <w:iCs w:val="false"/>
          <w:color w:val="1A1A1A"/>
          <w:sz w:val="22"/>
          <w:szCs w:val="22"/>
        </w:rPr>
        <w:t xml:space="preserve">Households: </w:t>
      </w:r>
      <w:r>
        <w:rPr>
          <w:b w:val="false"/>
          <w:bCs w:val="false"/>
          <w:i w:val="false"/>
          <w:iCs w:val="false"/>
          <w:color w:val="1A1A1A"/>
          <w:sz w:val="22"/>
          <w:szCs w:val="22"/>
        </w:rPr>
        <w:t xml:space="preserve">recovering ≈ 800 kWh/yr at the Decree-58 reference price (≈ 700 VND/kWh) is ≈ 560,000 VND/yr; FlexMatch demand premiums lift the realistic band to 0.6–1.0 million VND/yr per 5 kWp home — a meaningful acceleration of payback, earned from energy that today is thrown away.</w:t>
      </w:r>
    </w:p>
    <w:p>
      <w:pPr>
        <w:pStyle w:val="ListParagraph"/>
        <w:numPr>
          <w:ilvl w:val="0"/>
          <w:numId w:val="2"/>
        </w:numPr>
        <w:spacing w:after="90" w:line="264"/>
        <w:jc w:val="both"/>
      </w:pPr>
      <w:r>
        <w:rPr>
          <w:b/>
          <w:bCs/>
          <w:i w:val="false"/>
          <w:iCs w:val="false"/>
          <w:color w:val="1A1A1A"/>
          <w:sz w:val="22"/>
          <w:szCs w:val="22"/>
        </w:rPr>
        <w:t xml:space="preserve">Swap stations: </w:t>
      </w:r>
      <w:r>
        <w:rPr>
          <w:b w:val="false"/>
          <w:bCs w:val="false"/>
          <w:i w:val="false"/>
          <w:iCs w:val="false"/>
          <w:color w:val="1A1A1A"/>
          <w:sz w:val="22"/>
          <w:szCs w:val="22"/>
        </w:rPr>
        <w:t xml:space="preserve">shifting ≈ 150 kWh/day into the solar window at a 500–800 VND/kWh effective saving versus normal/peak business tariffs is ≈ 27–44 million VND/yr per station — real margin in a thin-margin business, aligned with the grid's needs.</w:t>
      </w:r>
    </w:p>
    <w:p>
      <w:pPr>
        <w:pStyle w:val="ListParagraph"/>
        <w:numPr>
          <w:ilvl w:val="0"/>
          <w:numId w:val="2"/>
        </w:numPr>
        <w:spacing w:after="90" w:line="264"/>
        <w:jc w:val="both"/>
      </w:pPr>
      <w:r>
        <w:rPr>
          <w:b/>
          <w:bCs/>
          <w:i w:val="false"/>
          <w:iCs w:val="false"/>
          <w:color w:val="1A1A1A"/>
          <w:sz w:val="22"/>
          <w:szCs w:val="22"/>
        </w:rPr>
        <w:t xml:space="preserve">EVN / society: </w:t>
      </w:r>
      <w:r>
        <w:rPr>
          <w:b w:val="false"/>
          <w:bCs w:val="false"/>
          <w:i w:val="false"/>
          <w:iCs w:val="false"/>
          <w:color w:val="1A1A1A"/>
          <w:sz w:val="22"/>
          <w:szCs w:val="22"/>
        </w:rPr>
        <w:t xml:space="preserve">each transformer whose reinforcement is deferred avoids hundreds of millions of VND in works; across 1,000 sites this is a capital-deferral instrument measured in tens of millions of USD, achieved by allocating existing copper more intelligently.</w:t>
      </w:r>
    </w:p>
    <w:p>
      <w:pPr>
        <w:pStyle w:val="Heading3"/>
        <w:spacing w:after="90" w:before="160"/>
      </w:pPr>
      <w:r>
        <w:rPr>
          <w:b/>
          <w:bCs/>
          <w:color w:val="0B6E4F"/>
          <w:sz w:val="22"/>
          <w:szCs w:val="22"/>
        </w:rPr>
        <w:t xml:space="preserve">Social &amp; community</w:t>
      </w:r>
    </w:p>
    <w:p>
      <w:pPr>
        <w:pStyle w:val="ListParagraph"/>
        <w:numPr>
          <w:ilvl w:val="0"/>
          <w:numId w:val="2"/>
        </w:numPr>
        <w:spacing w:after="90" w:line="264"/>
        <w:jc w:val="both"/>
      </w:pPr>
      <w:r>
        <w:rPr>
          <w:b w:val="false"/>
          <w:bCs w:val="false"/>
          <w:i w:val="false"/>
          <w:iCs w:val="false"/>
          <w:color w:val="1A1A1A"/>
          <w:sz w:val="22"/>
          <w:szCs w:val="22"/>
        </w:rPr>
        <w:t xml:space="preserve">Energy justice by construction: the fairness bound guarantees small and less price-aggressive households still get their turn to sell.</w:t>
      </w:r>
    </w:p>
    <w:p>
      <w:pPr>
        <w:pStyle w:val="ListParagraph"/>
        <w:numPr>
          <w:ilvl w:val="0"/>
          <w:numId w:val="2"/>
        </w:numPr>
        <w:spacing w:after="90" w:line="264"/>
        <w:jc w:val="both"/>
      </w:pPr>
      <w:r>
        <w:rPr>
          <w:b w:val="false"/>
          <w:bCs w:val="false"/>
          <w:i w:val="false"/>
          <w:iCs w:val="false"/>
          <w:color w:val="1A1A1A"/>
          <w:sz w:val="22"/>
          <w:szCs w:val="22"/>
        </w:rPr>
        <w:t xml:space="preserve">Trust infrastructure: every dong is traceable from meter reading to payout — the precondition for public participation in any energy market.</w:t>
      </w:r>
    </w:p>
    <w:p>
      <w:pPr>
        <w:pStyle w:val="ListParagraph"/>
        <w:numPr>
          <w:ilvl w:val="0"/>
          <w:numId w:val="2"/>
        </w:numPr>
        <w:spacing w:after="90" w:line="264"/>
        <w:jc w:val="both"/>
      </w:pPr>
      <w:r>
        <w:rPr>
          <w:b w:val="false"/>
          <w:bCs w:val="false"/>
          <w:i w:val="false"/>
          <w:iCs w:val="false"/>
          <w:color w:val="1A1A1A"/>
          <w:sz w:val="22"/>
          <w:szCs w:val="22"/>
        </w:rPr>
        <w:t xml:space="preserve">Keeps the rooftop-solar flywheel spinning: restored payback protects installer jobs and household investment confidence.</w:t>
      </w:r>
    </w:p>
    <w:p>
      <w:pPr>
        <w:pStyle w:val="ListParagraph"/>
        <w:numPr>
          <w:ilvl w:val="0"/>
          <w:numId w:val="2"/>
        </w:numPr>
        <w:spacing w:after="90" w:line="264"/>
        <w:jc w:val="both"/>
      </w:pPr>
      <w:r>
        <w:rPr>
          <w:b w:val="false"/>
          <w:bCs w:val="false"/>
          <w:i w:val="false"/>
          <w:iCs w:val="false"/>
          <w:color w:val="1A1A1A"/>
          <w:sz w:val="22"/>
          <w:szCs w:val="22"/>
        </w:rPr>
        <w:t xml:space="preserve">A public LEZ dashboard (“% of Hanoi's e-2W energy charged on sunshine”) turns the transition into a shared, visible civic achievement.</w:t>
      </w:r>
    </w:p>
    <w:p>
      <w:pPr>
        <w:pStyle w:val="ListParagraph"/>
        <w:numPr>
          <w:ilvl w:val="0"/>
          <w:numId w:val="2"/>
        </w:numPr>
        <w:spacing w:after="90" w:line="264"/>
        <w:jc w:val="both"/>
      </w:pPr>
      <w:r>
        <w:rPr>
          <w:b/>
          <w:bCs/>
          <w:i w:val="false"/>
          <w:iCs w:val="false"/>
          <w:color w:val="1A1A1A"/>
          <w:sz w:val="22"/>
          <w:szCs w:val="22"/>
        </w:rPr>
        <w:t xml:space="preserve">SDG alignment: </w:t>
      </w:r>
      <w:r>
        <w:rPr>
          <w:b w:val="false"/>
          <w:bCs w:val="false"/>
          <w:i w:val="false"/>
          <w:iCs w:val="false"/>
          <w:color w:val="1A1A1A"/>
          <w:sz w:val="22"/>
          <w:szCs w:val="22"/>
        </w:rPr>
        <w:t xml:space="preserve">SDG 7 (affordable clean energy), SDG 11 (sustainable cities), SDG 13 (climate action), SDG 8 (green jobs), SDG 9 (resilient infrastructure &amp; innovation).</w:t>
      </w:r>
    </w:p>
    <w:p>
      <w:pPr>
        <w:spacing w:after="140" w:before="0" w:line="276"/>
        <w:jc w:val="both"/>
      </w:pPr>
      <w:r>
        <w:rPr>
          <w:b/>
          <w:bCs/>
          <w:i w:val="false"/>
          <w:iCs w:val="false"/>
          <w:color w:val="1A1A1A"/>
          <w:sz w:val="22"/>
          <w:szCs w:val="22"/>
        </w:rPr>
        <w:t xml:space="preserve">KPIs we commit to measure: </w:t>
      </w:r>
      <w:r>
        <w:rPr>
          <w:b w:val="false"/>
          <w:bCs w:val="false"/>
          <w:i w:val="false"/>
          <w:iCs w:val="false"/>
          <w:color w:val="1A1A1A"/>
          <w:sz w:val="22"/>
          <w:szCs w:val="22"/>
        </w:rPr>
        <w:t xml:space="preserve">curtailed-kWh avoided; % of swap energy drawn in the solar window; median household payout; transformer peak-loading delta; fairness index (max consecutive rejections); fraud detection precision/recall; settlement latency.</w:t>
      </w:r>
    </w:p>
    <w:p>
      <w:r>
        <w:br w:type="page"/>
      </w:r>
    </w:p>
    <w:p>
      <w:pPr>
        <w:pStyle w:val="Heading1"/>
        <w:spacing w:after="160" w:before="320"/>
      </w:pPr>
      <w:r>
        <w:rPr>
          <w:b/>
          <w:bCs/>
          <w:color w:val="0B6E4F"/>
          <w:sz w:val="30"/>
          <w:szCs w:val="30"/>
        </w:rPr>
        <w:t xml:space="preserve">7.  DESCRIPTION OF TECHNOLOGIES APPLIED</w:t>
      </w:r>
    </w:p>
    <w:p>
      <w:pPr>
        <w:pStyle w:val="Heading2"/>
        <w:spacing w:after="120" w:before="220"/>
      </w:pPr>
      <w:r>
        <w:rPr>
          <w:b/>
          <w:bCs/>
          <w:color w:val="1A1A1A"/>
          <w:sz w:val="25"/>
          <w:szCs w:val="25"/>
        </w:rPr>
        <w:t xml:space="preserve">7.A  Proposed technologies</w:t>
      </w:r>
    </w:p>
    <w:p>
      <w:pPr>
        <w:pStyle w:val="ListParagraph"/>
        <w:numPr>
          <w:ilvl w:val="0"/>
          <w:numId w:val="2"/>
        </w:numPr>
        <w:spacing w:after="90" w:line="264"/>
        <w:jc w:val="both"/>
      </w:pPr>
      <w:r>
        <w:rPr>
          <w:b/>
          <w:bCs/>
          <w:i w:val="false"/>
          <w:iCs w:val="false"/>
          <w:color w:val="1A1A1A"/>
          <w:sz w:val="22"/>
          <w:szCs w:val="22"/>
        </w:rPr>
        <w:t xml:space="preserve">Data &amp; machine learning: </w:t>
      </w:r>
      <w:r>
        <w:rPr>
          <w:b w:val="false"/>
          <w:bCs w:val="false"/>
          <w:i w:val="false"/>
          <w:iCs w:val="false"/>
          <w:color w:val="1A1A1A"/>
          <w:sz w:val="22"/>
          <w:szCs w:val="22"/>
        </w:rPr>
        <w:t xml:space="preserve">Python 3.11, pandas, scikit-learn; XGBoost for transformer-congestion classification; PyTorch LSTM (with a Temporal Fusion Transformer variant under evaluation) for household surplus nowcasting; Optuna for hyper-parameter search; MLflow for experiment tracking.</w:t>
      </w:r>
    </w:p>
    <w:p>
      <w:pPr>
        <w:pStyle w:val="ListParagraph"/>
        <w:numPr>
          <w:ilvl w:val="0"/>
          <w:numId w:val="2"/>
        </w:numPr>
        <w:spacing w:after="90" w:line="264"/>
        <w:jc w:val="both"/>
      </w:pPr>
      <w:r>
        <w:rPr>
          <w:b/>
          <w:bCs/>
          <w:i w:val="false"/>
          <w:iCs w:val="false"/>
          <w:color w:val="1A1A1A"/>
          <w:sz w:val="22"/>
          <w:szCs w:val="22"/>
        </w:rPr>
        <w:t xml:space="preserve">Optimisation: </w:t>
      </w:r>
      <w:r>
        <w:rPr>
          <w:b w:val="false"/>
          <w:bCs w:val="false"/>
          <w:i w:val="false"/>
          <w:iCs w:val="false"/>
          <w:color w:val="1A1A1A"/>
          <w:sz w:val="22"/>
          <w:szCs w:val="22"/>
        </w:rPr>
        <w:t xml:space="preserve">Google OR-Tools / PuLP with the CBC solver for the HeadRoom Auction MILP; fairness expressed as hard lower-bound constraints; property-based tests (Hypothesis) on allocation invariants.</w:t>
      </w:r>
    </w:p>
    <w:p>
      <w:pPr>
        <w:pStyle w:val="ListParagraph"/>
        <w:numPr>
          <w:ilvl w:val="0"/>
          <w:numId w:val="2"/>
        </w:numPr>
        <w:spacing w:after="90" w:line="264"/>
        <w:jc w:val="both"/>
      </w:pPr>
      <w:r>
        <w:rPr>
          <w:b/>
          <w:bCs/>
          <w:i w:val="false"/>
          <w:iCs w:val="false"/>
          <w:color w:val="1A1A1A"/>
          <w:sz w:val="22"/>
          <w:szCs w:val="22"/>
        </w:rPr>
        <w:t xml:space="preserve">Grid simulation (digital twin): </w:t>
      </w:r>
      <w:r>
        <w:rPr>
          <w:b w:val="false"/>
          <w:bCs w:val="false"/>
          <w:i w:val="false"/>
          <w:iCs w:val="false"/>
          <w:color w:val="1A1A1A"/>
          <w:sz w:val="22"/>
          <w:szCs w:val="22"/>
        </w:rPr>
        <w:t xml:space="preserve">pandapower for AC power-flow on the 22 kV feeder model; Monte-Carlo household profile generator calibrated to Vietnamese load-research shapes; SimBench-style scenario library.</w:t>
      </w:r>
    </w:p>
    <w:p>
      <w:pPr>
        <w:pStyle w:val="ListParagraph"/>
        <w:numPr>
          <w:ilvl w:val="0"/>
          <w:numId w:val="2"/>
        </w:numPr>
        <w:spacing w:after="90" w:line="264"/>
        <w:jc w:val="both"/>
      </w:pPr>
      <w:r>
        <w:rPr>
          <w:b/>
          <w:bCs/>
          <w:i w:val="false"/>
          <w:iCs w:val="false"/>
          <w:color w:val="1A1A1A"/>
          <w:sz w:val="22"/>
          <w:szCs w:val="22"/>
        </w:rPr>
        <w:t xml:space="preserve">Backend &amp; data plane: </w:t>
      </w:r>
      <w:r>
        <w:rPr>
          <w:b w:val="false"/>
          <w:bCs w:val="false"/>
          <w:i w:val="false"/>
          <w:iCs w:val="false"/>
          <w:color w:val="1A1A1A"/>
          <w:sz w:val="22"/>
          <w:szCs w:val="22"/>
        </w:rPr>
        <w:t xml:space="preserve">FastAPI micro-backends; PostgreSQL + TimescaleDB for meter and forecast time-series; Redis Streams for the 15-minute market cycle; MQTT ingestion for meters/inverters; Docker Compose for one-command reproduction.</w:t>
      </w:r>
    </w:p>
    <w:p>
      <w:pPr>
        <w:pStyle w:val="ListParagraph"/>
        <w:numPr>
          <w:ilvl w:val="0"/>
          <w:numId w:val="2"/>
        </w:numPr>
        <w:spacing w:after="90" w:line="264"/>
        <w:jc w:val="both"/>
      </w:pPr>
      <w:r>
        <w:rPr>
          <w:b/>
          <w:bCs/>
          <w:i w:val="false"/>
          <w:iCs w:val="false"/>
          <w:color w:val="1A1A1A"/>
          <w:sz w:val="22"/>
          <w:szCs w:val="22"/>
        </w:rPr>
        <w:t xml:space="preserve">Frontends: </w:t>
      </w:r>
      <w:r>
        <w:rPr>
          <w:b w:val="false"/>
          <w:bCs w:val="false"/>
          <w:i w:val="false"/>
          <w:iCs w:val="false"/>
          <w:color w:val="1A1A1A"/>
          <w:sz w:val="22"/>
          <w:szCs w:val="22"/>
        </w:rPr>
        <w:t xml:space="preserve">Zalo Mini App (household, zero-install), React Native (household full app), Next.js + Mapbox GL (operator console with feeder heat-map and what-if sandbox), Recharts for analytics.</w:t>
      </w:r>
    </w:p>
    <w:p>
      <w:pPr>
        <w:pStyle w:val="ListParagraph"/>
        <w:numPr>
          <w:ilvl w:val="0"/>
          <w:numId w:val="2"/>
        </w:numPr>
        <w:spacing w:after="90" w:line="264"/>
        <w:jc w:val="both"/>
      </w:pPr>
      <w:r>
        <w:rPr>
          <w:b/>
          <w:bCs/>
          <w:i w:val="false"/>
          <w:iCs w:val="false"/>
          <w:color w:val="1A1A1A"/>
          <w:sz w:val="22"/>
          <w:szCs w:val="22"/>
        </w:rPr>
        <w:t xml:space="preserve">Settlement &amp; audit: </w:t>
      </w:r>
      <w:r>
        <w:rPr>
          <w:b w:val="false"/>
          <w:bCs w:val="false"/>
          <w:i w:val="false"/>
          <w:iCs w:val="false"/>
          <w:color w:val="1A1A1A"/>
          <w:sz w:val="22"/>
          <w:szCs w:val="22"/>
        </w:rPr>
        <w:t xml:space="preserve">event-sourced netting engine; SHA-256 hash-chained append-only ledger with daily Merkle-root anchoring; optional permissioned Hyperledger Fabric deployment (peers: EVN, regulator, consumer co-op); sandbox integrations for VNPay/MoMo payout APIs. Explicitly no tokens.</w:t>
      </w:r>
    </w:p>
    <w:p>
      <w:pPr>
        <w:pStyle w:val="ListParagraph"/>
        <w:numPr>
          <w:ilvl w:val="0"/>
          <w:numId w:val="2"/>
        </w:numPr>
        <w:spacing w:after="90" w:line="264"/>
        <w:jc w:val="both"/>
      </w:pPr>
      <w:r>
        <w:rPr>
          <w:b/>
          <w:bCs/>
          <w:i w:val="false"/>
          <w:iCs w:val="false"/>
          <w:color w:val="1A1A1A"/>
          <w:sz w:val="22"/>
          <w:szCs w:val="22"/>
        </w:rPr>
        <w:t xml:space="preserve">Quality &amp; delivery: </w:t>
      </w:r>
      <w:r>
        <w:rPr>
          <w:b w:val="false"/>
          <w:bCs w:val="false"/>
          <w:i w:val="false"/>
          <w:iCs w:val="false"/>
          <w:color w:val="1A1A1A"/>
          <w:sz w:val="22"/>
          <w:szCs w:val="22"/>
        </w:rPr>
        <w:t xml:space="preserve">pytest, GitHub Actions CI, pre-commit linting; Apache-2.0 licence for the full stack at project close.</w:t>
      </w:r>
    </w:p>
    <w:p>
      <w:pPr>
        <w:pStyle w:val="Heading2"/>
        <w:spacing w:after="120" w:before="220"/>
      </w:pPr>
      <w:r>
        <w:rPr>
          <w:b/>
          <w:bCs/>
          <w:color w:val="1A1A1A"/>
          <w:sz w:val="25"/>
          <w:szCs w:val="25"/>
        </w:rPr>
        <w:t xml:space="preserve">7.B  System architecture &amp; technical approach</w:t>
      </w:r>
    </w:p>
    <w:p>
      <w:pPr>
        <w:spacing w:after="140" w:before="0" w:line="276"/>
        <w:jc w:val="both"/>
      </w:pPr>
      <w:r>
        <w:rPr>
          <w:b w:val="false"/>
          <w:bCs w:val="false"/>
          <w:i w:val="false"/>
          <w:iCs w:val="false"/>
          <w:color w:val="1A1A1A"/>
          <w:sz w:val="22"/>
          <w:szCs w:val="22"/>
        </w:rPr>
        <w:t xml:space="preserve">The system is a modular monolith organised as four planes — Data, Intelligence, Market, and Experience — communicating over Redis Streams, so any plane can later split into an independent service without redesign (“microservices when needed, not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500"/>
        <w:gridCol w:w="3376"/>
      </w:tblGrid>
      <w:tr>
        <w:trPr>
          <w:tblHeader/>
        </w:trPr>
        <w:tc>
          <w:tcPr>
            <w:tcW w:type="dxa" w:w="215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Component</w:t>
            </w:r>
          </w:p>
        </w:tc>
        <w:tc>
          <w:tcPr>
            <w:tcW w:type="dxa" w:w="35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Role</w:t>
            </w:r>
          </w:p>
        </w:tc>
        <w:tc>
          <w:tcPr>
            <w:tcW w:type="dxa" w:w="337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Interacts with</w:t>
            </w:r>
          </w:p>
        </w:tc>
      </w:tr>
      <w:tr>
        <w:tc>
          <w:tcPr>
            <w:tcW w:type="dxa" w:w="21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Ingest Gateway (MQTT/HTTPS)</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Receives 15-min meter &amp; 5-min inverter telemetry; pulls weather hourly</w:t>
            </w:r>
          </w:p>
        </w:tc>
        <w:tc>
          <w:tcPr>
            <w:tcW w:type="dxa" w:w="33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TimescaleDB; GridMind</w:t>
            </w:r>
          </w:p>
        </w:tc>
      </w:tr>
      <w:tr>
        <w:tc>
          <w:tcPr>
            <w:tcW w:type="dxa" w:w="21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GridMind Forecast Service</w:t>
            </w:r>
          </w:p>
        </w:tc>
        <w:tc>
          <w:tcPr>
            <w:tcW w:type="dxa" w:w="3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Publishes per-transformer safe headroom h(t) and per-home surplus ŝᵢ(t) with confidence bands</w:t>
            </w:r>
          </w:p>
        </w:tc>
        <w:tc>
          <w:tcPr>
            <w:tcW w:type="dxa" w:w="337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Ingest; Auction; Operator console</w:t>
            </w:r>
          </w:p>
        </w:tc>
      </w:tr>
      <w:tr>
        <w:tc>
          <w:tcPr>
            <w:tcW w:type="dxa" w:w="21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Bid Layer / Auto-Sell agents</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Converts ŝᵢ(t) into capped bids; collects station absorption offers</w:t>
            </w:r>
          </w:p>
        </w:tc>
        <w:tc>
          <w:tcPr>
            <w:tcW w:type="dxa" w:w="33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Household apps; FlexMatch; Auction</w:t>
            </w:r>
          </w:p>
        </w:tc>
      </w:tr>
      <w:tr>
        <w:tc>
          <w:tcPr>
            <w:tcW w:type="dxa" w:w="21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HeadRoom Auction (MILP)</w:t>
            </w:r>
          </w:p>
        </w:tc>
        <w:tc>
          <w:tcPr>
            <w:tcW w:type="dxa" w:w="3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Clears every 15-min window; emits allocations + one-line explanations + fairness credits</w:t>
            </w:r>
          </w:p>
        </w:tc>
        <w:tc>
          <w:tcPr>
            <w:tcW w:type="dxa" w:w="337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Bid layer; Dispatch; TrustLedger</w:t>
            </w:r>
          </w:p>
        </w:tc>
      </w:tr>
      <w:tr>
        <w:tc>
          <w:tcPr>
            <w:tcW w:type="dxa" w:w="21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FlexMatch Scheduler</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Optimises station/depot charging into the solar window; computes absorption credits</w:t>
            </w:r>
          </w:p>
        </w:tc>
        <w:tc>
          <w:tcPr>
            <w:tcW w:type="dxa" w:w="33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Station APIs (OCPP / vendor); Auction</w:t>
            </w:r>
          </w:p>
        </w:tc>
      </w:tr>
      <w:tr>
        <w:tc>
          <w:tcPr>
            <w:tcW w:type="dxa" w:w="21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Dispatch Adapter</w:t>
            </w:r>
          </w:p>
        </w:tc>
        <w:tc>
          <w:tcPr>
            <w:tcW w:type="dxa" w:w="3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Sends inverter export set-points and station schedules; enforces operator override priority</w:t>
            </w:r>
          </w:p>
        </w:tc>
        <w:tc>
          <w:tcPr>
            <w:tcW w:type="dxa" w:w="337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Inverter clouds; stations; EVN operator</w:t>
            </w:r>
          </w:p>
        </w:tc>
      </w:tr>
      <w:tr>
        <w:tc>
          <w:tcPr>
            <w:tcW w:type="dxa" w:w="21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Verification &amp; Sentinel</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Post-window meter reconciliation; anomaly scoring (physical-cap violations, tamper signatures, collusion)</w:t>
            </w:r>
          </w:p>
        </w:tc>
        <w:tc>
          <w:tcPr>
            <w:tcW w:type="dxa" w:w="33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TimescaleDB; Settlement</w:t>
            </w:r>
          </w:p>
        </w:tc>
      </w:tr>
      <w:tr>
        <w:tc>
          <w:tcPr>
            <w:tcW w:type="dxa" w:w="215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Settlement &amp; TrustLedger</w:t>
            </w:r>
          </w:p>
        </w:tc>
        <w:tc>
          <w:tcPr>
            <w:tcW w:type="dxa" w:w="3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Netting → VND payment instructions (bank / e-wallet); hash-chains and anchors every event</w:t>
            </w:r>
          </w:p>
        </w:tc>
        <w:tc>
          <w:tcPr>
            <w:tcW w:type="dxa" w:w="337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Payment sandbox; Fabric network; all planes</w:t>
            </w:r>
          </w:p>
        </w:tc>
      </w:tr>
      <w:tr>
        <w:tc>
          <w:tcPr>
            <w:tcW w:type="dxa" w:w="21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Experience plane</w:t>
            </w:r>
          </w:p>
        </w:tc>
        <w:tc>
          <w:tcPr>
            <w:tcW w:type="dxa" w:w="3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Zalo/React-Native household apps; Next.js + Mapbox operator console with counterfactual replay</w:t>
            </w:r>
          </w:p>
        </w:tc>
        <w:tc>
          <w:tcPr>
            <w:tcW w:type="dxa" w:w="337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All services (read models)</w:t>
            </w:r>
          </w:p>
        </w:tc>
      </w:tr>
    </w:tbl>
    <w:p>
      <w:pPr>
        <w:spacing w:after="80"/>
      </w:pPr>
    </w:p>
    <w:p>
      <w:pPr>
        <w:pStyle w:val="Heading3"/>
        <w:spacing w:after="90" w:before="160"/>
      </w:pPr>
      <w:r>
        <w:rPr>
          <w:b/>
          <w:bCs/>
          <w:color w:val="0B6E4F"/>
          <w:sz w:val="22"/>
          <w:szCs w:val="22"/>
        </w:rPr>
        <w:t xml:space="preserve">End-to-end data flow (one 15-minute market cycle)</w:t>
      </w:r>
    </w:p>
    <w:p>
      <w:pPr>
        <w:spacing w:after="140" w:before="0" w:line="276"/>
        <w:jc w:val="both"/>
      </w:pPr>
      <w:r>
        <w:rPr>
          <w:b w:val="false"/>
          <w:bCs w:val="false"/>
          <w:i w:val="false"/>
          <w:iCs w:val="false"/>
          <w:color w:val="1A1A1A"/>
          <w:sz w:val="22"/>
          <w:szCs w:val="22"/>
        </w:rPr>
        <w:t xml:space="preserve">(1) Telemetry and weather land in TimescaleDB → (2) GridMind publishes h(t) and ŝᵢ(t) → (3) Auto-Sell agents and stations submit capped bids and absorption offers → (4) the MILP clears: maximise Σ w·score(bid) subject to Σ accepted ≤ 0.9·h(t), fairness lower-bounds, and station ramp limits → (5) Dispatch pushes set-points and schedules → (6) after the window, Verification reconciles metered delivery and Sentinel scores anomalies → (7) Settlement nets positions, issues VND payouts, and seals the window's Merkle root to TrustLedger → (8) apps and the operator console update, including the counterfactual “what blunt curtailment would have cost.” Safety posture: allocations never exceed 90% of forecast headroom, and a human operator override outranks every automated decision.</w:t>
      </w:r>
    </w:p>
    <w:p>
      <w:pPr>
        <w:pStyle w:val="Heading2"/>
        <w:spacing w:after="120" w:before="220"/>
      </w:pPr>
      <w:r>
        <w:rPr>
          <w:b/>
          <w:bCs/>
          <w:color w:val="1A1A1A"/>
          <w:sz w:val="25"/>
          <w:szCs w:val="25"/>
        </w:rPr>
        <w:t xml:space="preserve">7.C  Data and infrastructure requirements</w:t>
      </w:r>
    </w:p>
    <w:p>
      <w:pPr>
        <w:pStyle w:val="Heading3"/>
        <w:spacing w:after="90" w:before="160"/>
      </w:pPr>
      <w:r>
        <w:rPr>
          <w:b/>
          <w:bCs/>
          <w:color w:val="0B6E4F"/>
          <w:sz w:val="22"/>
          <w:szCs w:val="22"/>
        </w:rPr>
        <w:t xml:space="preserve">Data sources</w:t>
      </w:r>
    </w:p>
    <w:p>
      <w:pPr>
        <w:pStyle w:val="ListParagraph"/>
        <w:numPr>
          <w:ilvl w:val="0"/>
          <w:numId w:val="2"/>
        </w:numPr>
        <w:spacing w:after="90" w:line="264"/>
        <w:jc w:val="both"/>
      </w:pPr>
      <w:r>
        <w:rPr>
          <w:b/>
          <w:bCs/>
          <w:i w:val="false"/>
          <w:iCs w:val="false"/>
          <w:color w:val="1A1A1A"/>
          <w:sz w:val="22"/>
          <w:szCs w:val="22"/>
        </w:rPr>
        <w:t xml:space="preserve">Historical &amp; climatological: </w:t>
      </w:r>
      <w:r>
        <w:rPr>
          <w:b w:val="false"/>
          <w:bCs w:val="false"/>
          <w:i w:val="false"/>
          <w:iCs w:val="false"/>
          <w:color w:val="1A1A1A"/>
          <w:sz w:val="22"/>
          <w:szCs w:val="22"/>
        </w:rPr>
        <w:t xml:space="preserve">Open-Meteo archive (Hanoi, 2013–2026) and EU JRC PVGIS for irradiance and typical meteorological years.</w:t>
      </w:r>
    </w:p>
    <w:p>
      <w:pPr>
        <w:pStyle w:val="ListParagraph"/>
        <w:numPr>
          <w:ilvl w:val="0"/>
          <w:numId w:val="2"/>
        </w:numPr>
        <w:spacing w:after="90" w:line="264"/>
        <w:jc w:val="both"/>
      </w:pPr>
      <w:r>
        <w:rPr>
          <w:b/>
          <w:bCs/>
          <w:i w:val="false"/>
          <w:iCs w:val="false"/>
          <w:color w:val="1A1A1A"/>
          <w:sz w:val="22"/>
          <w:szCs w:val="22"/>
        </w:rPr>
        <w:t xml:space="preserve">Profiles &amp; tariffs: </w:t>
      </w:r>
      <w:r>
        <w:rPr>
          <w:b w:val="false"/>
          <w:bCs w:val="false"/>
          <w:i w:val="false"/>
          <w:iCs w:val="false"/>
          <w:color w:val="1A1A1A"/>
          <w:sz w:val="22"/>
          <w:szCs w:val="22"/>
        </w:rPr>
        <w:t xml:space="preserve">published EVN/ERAV load-research shapes and retail tariff schedules; OpenStreetMap for feeder geography.</w:t>
      </w:r>
    </w:p>
    <w:p>
      <w:pPr>
        <w:pStyle w:val="ListParagraph"/>
        <w:numPr>
          <w:ilvl w:val="0"/>
          <w:numId w:val="2"/>
        </w:numPr>
        <w:spacing w:after="90" w:line="264"/>
        <w:jc w:val="both"/>
      </w:pPr>
      <w:r>
        <w:rPr>
          <w:b/>
          <w:bCs/>
          <w:i w:val="false"/>
          <w:iCs w:val="false"/>
          <w:color w:val="1A1A1A"/>
          <w:sz w:val="22"/>
          <w:szCs w:val="22"/>
        </w:rPr>
        <w:t xml:space="preserve">Synthetic (prototype): </w:t>
      </w:r>
      <w:r>
        <w:rPr>
          <w:b w:val="false"/>
          <w:bCs w:val="false"/>
          <w:i w:val="false"/>
          <w:iCs w:val="false"/>
          <w:color w:val="1A1A1A"/>
          <w:sz w:val="22"/>
          <w:szCs w:val="22"/>
        </w:rPr>
        <w:t xml:space="preserve">open-sourced pandapower feeder + Monte-Carlo household generator — every experiment reproducible by judges.</w:t>
      </w:r>
    </w:p>
    <w:p>
      <w:pPr>
        <w:pStyle w:val="ListParagraph"/>
        <w:numPr>
          <w:ilvl w:val="0"/>
          <w:numId w:val="2"/>
        </w:numPr>
        <w:spacing w:after="90" w:line="264"/>
        <w:jc w:val="both"/>
      </w:pPr>
      <w:r>
        <w:rPr>
          <w:b/>
          <w:bCs/>
          <w:i w:val="false"/>
          <w:iCs w:val="false"/>
          <w:color w:val="1A1A1A"/>
          <w:sz w:val="22"/>
          <w:szCs w:val="22"/>
        </w:rPr>
        <w:t xml:space="preserve">Pilot phase (opt-in, consented): </w:t>
      </w:r>
      <w:r>
        <w:rPr>
          <w:b w:val="false"/>
          <w:bCs w:val="false"/>
          <w:i w:val="false"/>
          <w:iCs w:val="false"/>
          <w:color w:val="1A1A1A"/>
          <w:sz w:val="22"/>
          <w:szCs w:val="22"/>
        </w:rPr>
        <w:t xml:space="preserve">EVN smart-meter APIs where deployed; inverter cloud APIs (Growatt, Huawei, Solis, SMA) as the universal fallback; partner swap-station charging logs under MoU. Personal data minimised and processed in-country in line with Vietnam's personal data protection rules.</w:t>
      </w:r>
    </w:p>
    <w:p>
      <w:pPr>
        <w:pStyle w:val="Heading3"/>
        <w:spacing w:after="90" w:before="160"/>
      </w:pPr>
      <w:r>
        <w:rPr>
          <w:b/>
          <w:bCs/>
          <w:color w:val="0B6E4F"/>
          <w:sz w:val="22"/>
          <w:szCs w:val="22"/>
        </w:rPr>
        <w:t xml:space="preserve">Infrastructure</w:t>
      </w:r>
    </w:p>
    <w:p>
      <w:pPr>
        <w:pStyle w:val="ListParagraph"/>
        <w:numPr>
          <w:ilvl w:val="0"/>
          <w:numId w:val="2"/>
        </w:numPr>
        <w:spacing w:after="90" w:line="264"/>
        <w:jc w:val="both"/>
      </w:pPr>
      <w:r>
        <w:rPr>
          <w:b/>
          <w:bCs/>
          <w:i w:val="false"/>
          <w:iCs w:val="false"/>
          <w:color w:val="1A1A1A"/>
          <w:sz w:val="22"/>
          <w:szCs w:val="22"/>
        </w:rPr>
        <w:t xml:space="preserve">Prototype/demo: </w:t>
      </w:r>
      <w:r>
        <w:rPr>
          <w:b w:val="false"/>
          <w:bCs w:val="false"/>
          <w:i w:val="false"/>
          <w:iCs w:val="false"/>
          <w:color w:val="1A1A1A"/>
          <w:sz w:val="22"/>
          <w:szCs w:val="22"/>
        </w:rPr>
        <w:t xml:space="preserve">runs fully offline on a single laptop via Docker Compose (venue-network-proof); cloud mirror on one 8 vCPU / 16 GB VPS (≈ US$40/month) with managed PostgreSQL.</w:t>
      </w:r>
    </w:p>
    <w:p>
      <w:pPr>
        <w:pStyle w:val="ListParagraph"/>
        <w:numPr>
          <w:ilvl w:val="0"/>
          <w:numId w:val="2"/>
        </w:numPr>
        <w:spacing w:after="90" w:line="264"/>
        <w:jc w:val="both"/>
      </w:pPr>
      <w:r>
        <w:rPr>
          <w:b/>
          <w:bCs/>
          <w:i w:val="false"/>
          <w:iCs w:val="false"/>
          <w:color w:val="1A1A1A"/>
          <w:sz w:val="22"/>
          <w:szCs w:val="22"/>
        </w:rPr>
        <w:t xml:space="preserve">Pilot: </w:t>
      </w:r>
      <w:r>
        <w:rPr>
          <w:b w:val="false"/>
          <w:bCs w:val="false"/>
          <w:i w:val="false"/>
          <w:iCs w:val="false"/>
          <w:color w:val="1A1A1A"/>
          <w:sz w:val="22"/>
          <w:szCs w:val="22"/>
        </w:rPr>
        <w:t xml:space="preserve">a high-availability pair plus object storage, ≈ US$300–500/month; no bespoke hardware required — urban smart meters are already deployed by EVN, and an optional US$30 ESP32 CT-clamp kit covers legacy homes (stretch goal).</w:t>
      </w:r>
    </w:p>
    <w:p>
      <w:r>
        <w:br w:type="page"/>
      </w:r>
    </w:p>
    <w:p>
      <w:pPr>
        <w:pStyle w:val="Heading1"/>
        <w:spacing w:after="160" w:before="320"/>
      </w:pPr>
      <w:r>
        <w:rPr>
          <w:b/>
          <w:bCs/>
          <w:color w:val="0B6E4F"/>
          <w:sz w:val="30"/>
          <w:szCs w:val="30"/>
        </w:rPr>
        <w:t xml:space="preserve">8.  REFERENCES</w:t>
      </w:r>
    </w:p>
    <w:p>
      <w:pPr>
        <w:spacing w:after="90" w:line="252"/>
        <w:jc w:val="left"/>
      </w:pPr>
      <w:r>
        <w:rPr>
          <w:b/>
          <w:bCs/>
          <w:color w:val="0B6E4F"/>
          <w:sz w:val="20"/>
          <w:szCs w:val="20"/>
        </w:rPr>
        <w:t xml:space="preserve">[1]  </w:t>
      </w:r>
      <w:r>
        <w:rPr>
          <w:color w:val="1A1A1A"/>
          <w:sz w:val="20"/>
          <w:szCs w:val="20"/>
        </w:rPr>
        <w:t xml:space="preserve">Government of Vietnam. Decree No. 58/2025/ND-CP dated 3 March 2025 detailing the Electricity Law on development of renewable and new energy (rooftop self-production &amp; self-consumption; sale of surplus to the national grid).</w:t>
      </w:r>
    </w:p>
    <w:p>
      <w:pPr>
        <w:spacing w:after="90" w:line="252"/>
        <w:jc w:val="left"/>
      </w:pPr>
      <w:r>
        <w:rPr>
          <w:b/>
          <w:bCs/>
          <w:color w:val="0B6E4F"/>
          <w:sz w:val="20"/>
          <w:szCs w:val="20"/>
        </w:rPr>
        <w:t xml:space="preserve">[2]  </w:t>
      </w:r>
      <w:r>
        <w:rPr>
          <w:color w:val="1A1A1A"/>
          <w:sz w:val="20"/>
          <w:szCs w:val="20"/>
        </w:rPr>
        <w:t xml:space="preserve">Vietnam Electricity (EVN). Decision No. 429/QD-EVN dated 27 March 2025 on the process for purchasing surplus electricity from self-produced, self-consumed rooftop solar systems.</w:t>
      </w:r>
    </w:p>
    <w:p>
      <w:pPr>
        <w:spacing w:after="90" w:line="252"/>
        <w:jc w:val="left"/>
      </w:pPr>
      <w:r>
        <w:rPr>
          <w:b/>
          <w:bCs/>
          <w:color w:val="0B6E4F"/>
          <w:sz w:val="20"/>
          <w:szCs w:val="20"/>
        </w:rPr>
        <w:t xml:space="preserve">[3]  </w:t>
      </w:r>
      <w:r>
        <w:rPr>
          <w:color w:val="1A1A1A"/>
          <w:sz w:val="20"/>
          <w:szCs w:val="20"/>
        </w:rPr>
        <w:t xml:space="preserve">Government of Vietnam. Decree No. 57/2025/ND-CP dated 3 March 2025 on the Direct Power Purchase Agreement (DPPA) mechanism; analysis in Vietnam Briefing, “Vietnam Renewable Energy Reform 2025: Key Changes on DPPAs” (recognition of EV charging service providers as large electricity consumers; 20% rooftop surplus sale to EVN). https://www.vietnam-briefing.com/news/vietnam-renewable-energy-decree-57.html</w:t>
      </w:r>
    </w:p>
    <w:p>
      <w:pPr>
        <w:spacing w:after="90" w:line="252"/>
        <w:jc w:val="left"/>
      </w:pPr>
      <w:r>
        <w:rPr>
          <w:b/>
          <w:bCs/>
          <w:color w:val="0B6E4F"/>
          <w:sz w:val="20"/>
          <w:szCs w:val="20"/>
        </w:rPr>
        <w:t xml:space="preserve">[4]  </w:t>
      </w:r>
      <w:r>
        <w:rPr>
          <w:color w:val="1A1A1A"/>
          <w:sz w:val="20"/>
          <w:szCs w:val="20"/>
        </w:rPr>
        <w:t xml:space="preserve">Prime Minister of Vietnam. Decision No. 768/QD-TTg dated 15 April 2025 approving the revised National Power Development Plan VIII (solar 46,459–73,416 MW and 10,000–16,300 MW of battery storage by 2030).</w:t>
      </w:r>
    </w:p>
    <w:p>
      <w:pPr>
        <w:spacing w:after="90" w:line="252"/>
        <w:jc w:val="left"/>
      </w:pPr>
      <w:r>
        <w:rPr>
          <w:b/>
          <w:bCs/>
          <w:color w:val="0B6E4F"/>
          <w:sz w:val="20"/>
          <w:szCs w:val="20"/>
        </w:rPr>
        <w:t xml:space="preserve">[5]  </w:t>
      </w:r>
      <w:r>
        <w:rPr>
          <w:color w:val="1A1A1A"/>
          <w:sz w:val="20"/>
          <w:szCs w:val="20"/>
        </w:rPr>
        <w:t xml:space="preserve">Norton Rose Fulbright. “Vietnam: Power Sector Snapshot” (2025) — 18.8 GW of ground-mounted and rooftop solar by end-2024; Decree 58 context; curtailment risk. https://www.nortonrosefulbright.com/en/knowledge/publications/1d041eb0/vietnam-power-sector-snapshot</w:t>
      </w:r>
    </w:p>
    <w:p>
      <w:pPr>
        <w:spacing w:after="90" w:line="252"/>
        <w:jc w:val="left"/>
      </w:pPr>
      <w:r>
        <w:rPr>
          <w:b/>
          <w:bCs/>
          <w:color w:val="0B6E4F"/>
          <w:sz w:val="20"/>
          <w:szCs w:val="20"/>
        </w:rPr>
        <w:t xml:space="preserve">[6]  </w:t>
      </w:r>
      <w:r>
        <w:rPr>
          <w:color w:val="1A1A1A"/>
          <w:sz w:val="20"/>
          <w:szCs w:val="20"/>
        </w:rPr>
        <w:t xml:space="preserve">SolarQuarter. “Vietnam Faces Rooftop Solar Curtailment Amid Grid Constraints” (13 April 2026) — EVN/NLDC rooftop curtailment measures and their rationale. https://solarquarter.com/2026/04/13/vietnam-faces-rooftop-solar-curtailment-amid-grid-constraints/</w:t>
      </w:r>
    </w:p>
    <w:p>
      <w:pPr>
        <w:spacing w:after="90" w:line="252"/>
        <w:jc w:val="left"/>
      </w:pPr>
      <w:r>
        <w:rPr>
          <w:b/>
          <w:bCs/>
          <w:color w:val="0B6E4F"/>
          <w:sz w:val="20"/>
          <w:szCs w:val="20"/>
        </w:rPr>
        <w:t xml:space="preserve">[7]  </w:t>
      </w:r>
      <w:r>
        <w:rPr>
          <w:color w:val="1A1A1A"/>
          <w:sz w:val="20"/>
          <w:szCs w:val="20"/>
        </w:rPr>
        <w:t xml:space="preserve">Prime Minister of Vietnam. Directive No. 20/CT-TTg (2025) on urgent tasks to prevent and address environmental pollution (Hanoi fossil-fuel two-wheeler phase-out inside Ring Road 1).</w:t>
      </w:r>
    </w:p>
    <w:p>
      <w:pPr>
        <w:spacing w:after="90" w:line="252"/>
        <w:jc w:val="left"/>
      </w:pPr>
      <w:r>
        <w:rPr>
          <w:b/>
          <w:bCs/>
          <w:color w:val="0B6E4F"/>
          <w:sz w:val="20"/>
          <w:szCs w:val="20"/>
        </w:rPr>
        <w:t xml:space="preserve">[8]  </w:t>
      </w:r>
      <w:r>
        <w:rPr>
          <w:color w:val="1A1A1A"/>
          <w:sz w:val="20"/>
          <w:szCs w:val="20"/>
        </w:rPr>
        <w:t xml:space="preserve">Hanoi People's Council. Resolution on low-emission zone criteria (26 November 2025); coverage in Việt Nam News, “Petrol-powered motorbikes to be banned during certain hours within urban centre of Hà Nội from July 2026”; VnExpress International (27 November 2025); VietnamPlus, “Hanoi to pilot petrol motorbike ban in Old Quarter from July” (April 2026).</w:t>
      </w:r>
    </w:p>
    <w:p>
      <w:pPr>
        <w:spacing w:after="90" w:line="252"/>
        <w:jc w:val="left"/>
      </w:pPr>
      <w:r>
        <w:rPr>
          <w:b/>
          <w:bCs/>
          <w:color w:val="0B6E4F"/>
          <w:sz w:val="20"/>
          <w:szCs w:val="20"/>
        </w:rPr>
        <w:t xml:space="preserve">[9]  </w:t>
      </w:r>
      <w:r>
        <w:rPr>
          <w:color w:val="1A1A1A"/>
          <w:sz w:val="20"/>
          <w:szCs w:val="20"/>
        </w:rPr>
        <w:t xml:space="preserve">F&amp;L Asia. “Hanoi to subsidise 450,000 motorbike switch before 2026 ban” (July 2025). https://www.fuelsandlubes.com/hanoi-to-subsidise-450000-motorbike-switch-before-2026-ban/</w:t>
      </w:r>
    </w:p>
    <w:p>
      <w:pPr>
        <w:spacing w:after="90" w:line="252"/>
        <w:jc w:val="left"/>
      </w:pPr>
      <w:r>
        <w:rPr>
          <w:b/>
          <w:bCs/>
          <w:color w:val="0B6E4F"/>
          <w:sz w:val="20"/>
          <w:szCs w:val="20"/>
        </w:rPr>
        <w:t xml:space="preserve">[10]  </w:t>
      </w:r>
      <w:r>
        <w:rPr>
          <w:color w:val="1A1A1A"/>
          <w:sz w:val="20"/>
          <w:szCs w:val="20"/>
        </w:rPr>
        <w:t xml:space="preserve">Selex Motors — shared battery-swapping network materials: “Swapping gas for batteries” (USAID V-LEEP II); Da Nang station launch with MOIT &amp; USAID (September 2024); battery compatibility ≈ 70% of e-2W. https://selex.vn/en/</w:t>
      </w:r>
    </w:p>
    <w:p>
      <w:pPr>
        <w:spacing w:after="90" w:line="252"/>
        <w:jc w:val="left"/>
      </w:pPr>
      <w:r>
        <w:rPr>
          <w:b/>
          <w:bCs/>
          <w:color w:val="0B6E4F"/>
          <w:sz w:val="20"/>
          <w:szCs w:val="20"/>
        </w:rPr>
        <w:t xml:space="preserve">[11]  </w:t>
      </w:r>
      <w:r>
        <w:rPr>
          <w:color w:val="1A1A1A"/>
          <w:sz w:val="20"/>
          <w:szCs w:val="20"/>
        </w:rPr>
        <w:t xml:space="preserve">Vietnam.vn. “Electric motorbikes with battery swapping support are now available in Vietnam” (January 2026) — VinFast ≈ 4,500 swap stations with a 45,000-station target; Honda HEAD swap stations from April 2026.</w:t>
      </w:r>
    </w:p>
    <w:p>
      <w:pPr>
        <w:spacing w:after="90" w:line="252"/>
        <w:jc w:val="left"/>
      </w:pPr>
      <w:r>
        <w:rPr>
          <w:b/>
          <w:bCs/>
          <w:color w:val="0B6E4F"/>
          <w:sz w:val="20"/>
          <w:szCs w:val="20"/>
        </w:rPr>
        <w:t xml:space="preserve">[12]  </w:t>
      </w:r>
      <w:r>
        <w:rPr>
          <w:color w:val="1A1A1A"/>
          <w:sz w:val="20"/>
          <w:szCs w:val="20"/>
        </w:rPr>
        <w:t xml:space="preserve">National Assembly of Vietnam. Law on Digital Technology Industry 2025 (effective 1 January 2026); Government Resolution No. 05/2025/NQ-CP (9 September 2025) on the crypto-asset market pilot; Watson Farley &amp; Williams, “Landmark Legislation Regulates Digital Assets in Vietnam” (January 2026) — crypto assets are recognised as property but are not a legal means of payment.</w:t>
      </w:r>
    </w:p>
    <w:p>
      <w:pPr>
        <w:spacing w:after="90" w:line="252"/>
        <w:jc w:val="left"/>
      </w:pPr>
      <w:r>
        <w:rPr>
          <w:b/>
          <w:bCs/>
          <w:color w:val="0B6E4F"/>
          <w:sz w:val="20"/>
          <w:szCs w:val="20"/>
        </w:rPr>
        <w:t xml:space="preserve">[13]  </w:t>
      </w:r>
      <w:r>
        <w:rPr>
          <w:color w:val="1A1A1A"/>
          <w:sz w:val="20"/>
          <w:szCs w:val="20"/>
        </w:rPr>
        <w:t xml:space="preserve">Government of Vietnam. Decree No. 52/2024/ND-CP on non-cash payments (legal basis for bank and licensed e-wallet settlement).</w:t>
      </w:r>
    </w:p>
    <w:p>
      <w:pPr>
        <w:spacing w:after="90" w:line="252"/>
        <w:jc w:val="left"/>
      </w:pPr>
      <w:r>
        <w:rPr>
          <w:b/>
          <w:bCs/>
          <w:color w:val="0B6E4F"/>
          <w:sz w:val="20"/>
          <w:szCs w:val="20"/>
        </w:rPr>
        <w:t xml:space="preserve">[14]  </w:t>
      </w:r>
      <w:r>
        <w:rPr>
          <w:color w:val="1A1A1A"/>
          <w:sz w:val="20"/>
          <w:szCs w:val="20"/>
        </w:rPr>
        <w:t xml:space="preserve">Earth Journalism Network. “A Reporting Tipsheet on Renewable Energy in Vietnam” (2026) — EVN Q1-2025 generation mix (coal ≈ 56.5%). https://earthjournalism.net/resources/tipsheet/a-reporting-tipsheet-on-renewable-energy-in-vietnam</w:t>
      </w:r>
    </w:p>
    <w:p>
      <w:pPr>
        <w:spacing w:after="90" w:line="252"/>
        <w:jc w:val="left"/>
      </w:pPr>
      <w:r>
        <w:rPr>
          <w:b/>
          <w:bCs/>
          <w:color w:val="0B6E4F"/>
          <w:sz w:val="20"/>
          <w:szCs w:val="20"/>
        </w:rPr>
        <w:t xml:space="preserve">[15]  </w:t>
      </w:r>
      <w:r>
        <w:rPr>
          <w:color w:val="1A1A1A"/>
          <w:sz w:val="20"/>
          <w:szCs w:val="20"/>
        </w:rPr>
        <w:t xml:space="preserve">Ministry of Agriculture and Environment (formerly MONRE). Latest announced grid emission factor of Vietnam's power system (≈ 0.65 tCO₂/MWh), used here as an order-of-magnitude conversion.</w:t>
      </w:r>
    </w:p>
    <w:p>
      <w:pPr>
        <w:spacing w:after="90" w:line="252"/>
        <w:jc w:val="left"/>
      </w:pPr>
      <w:r>
        <w:rPr>
          <w:b/>
          <w:bCs/>
          <w:color w:val="0B6E4F"/>
          <w:sz w:val="20"/>
          <w:szCs w:val="20"/>
        </w:rPr>
        <w:t xml:space="preserve">[16]  </w:t>
      </w:r>
      <w:r>
        <w:rPr>
          <w:color w:val="1A1A1A"/>
          <w:sz w:val="20"/>
          <w:szCs w:val="20"/>
        </w:rPr>
        <w:t xml:space="preserve">UNFCCC Momentum for Change. “ME SOLshare: Peer-to-Peer Smart Village Grids, Bangladesh.” https://unfccc.int/climate-action/momentum-for-change/ict-solutions/solshare</w:t>
      </w:r>
    </w:p>
    <w:p>
      <w:pPr>
        <w:spacing w:after="90" w:line="252"/>
        <w:jc w:val="left"/>
      </w:pPr>
      <w:r>
        <w:rPr>
          <w:b/>
          <w:bCs/>
          <w:color w:val="0B6E4F"/>
          <w:sz w:val="20"/>
          <w:szCs w:val="20"/>
        </w:rPr>
        <w:t xml:space="preserve">[17]  </w:t>
      </w:r>
      <w:r>
        <w:rPr>
          <w:color w:val="1A1A1A"/>
          <w:sz w:val="20"/>
          <w:szCs w:val="20"/>
        </w:rPr>
        <w:t xml:space="preserve">Powerledger. “The Future of Decentralised Energy: Powerledger's Research in Blockchain and P2P Trading” — BCPG T77 (Bangkok) project and Asian trials. https://powerledger.io/</w:t>
      </w:r>
    </w:p>
    <w:p>
      <w:pPr>
        <w:spacing w:after="90" w:line="252"/>
        <w:jc w:val="left"/>
      </w:pPr>
      <w:r>
        <w:rPr>
          <w:b/>
          <w:bCs/>
          <w:color w:val="0B6E4F"/>
          <w:sz w:val="20"/>
          <w:szCs w:val="20"/>
        </w:rPr>
        <w:t xml:space="preserve">[18]  </w:t>
      </w:r>
      <w:r>
        <w:rPr>
          <w:color w:val="1A1A1A"/>
          <w:sz w:val="20"/>
          <w:szCs w:val="20"/>
        </w:rPr>
        <w:t xml:space="preserve">“Peer-to-Peer Energy Systems for Connected Communities: A Review of Recent Advances and Emerging Challenges.” arXiv:2011.11118.</w:t>
      </w:r>
    </w:p>
    <w:p>
      <w:pPr>
        <w:spacing w:after="90" w:line="252"/>
        <w:jc w:val="left"/>
      </w:pPr>
      <w:r>
        <w:rPr>
          <w:b/>
          <w:bCs/>
          <w:color w:val="0B6E4F"/>
          <w:sz w:val="20"/>
          <w:szCs w:val="20"/>
        </w:rPr>
        <w:t xml:space="preserve">[19]  </w:t>
      </w:r>
      <w:r>
        <w:rPr>
          <w:color w:val="1A1A1A"/>
          <w:sz w:val="20"/>
          <w:szCs w:val="20"/>
        </w:rPr>
        <w:t xml:space="preserve">Chen, T. &amp; Guestrin, C. (2016). “XGBoost: A Scalable Tree Boosting System.” Proceedings of KDD 2016.</w:t>
      </w:r>
    </w:p>
    <w:p>
      <w:pPr>
        <w:spacing w:after="90" w:line="252"/>
        <w:jc w:val="left"/>
      </w:pPr>
      <w:r>
        <w:rPr>
          <w:b/>
          <w:bCs/>
          <w:color w:val="0B6E4F"/>
          <w:sz w:val="20"/>
          <w:szCs w:val="20"/>
        </w:rPr>
        <w:t xml:space="preserve">[20]  </w:t>
      </w:r>
      <w:r>
        <w:rPr>
          <w:color w:val="1A1A1A"/>
          <w:sz w:val="20"/>
          <w:szCs w:val="20"/>
        </w:rPr>
        <w:t xml:space="preserve">Hochreiter, S. &amp; Schmidhuber, J. (1997). “Long Short-Term Memory.” Neural Computation 9(8).</w:t>
      </w:r>
    </w:p>
    <w:p>
      <w:pPr>
        <w:spacing w:after="90" w:line="252"/>
        <w:jc w:val="left"/>
      </w:pPr>
      <w:r>
        <w:rPr>
          <w:b/>
          <w:bCs/>
          <w:color w:val="0B6E4F"/>
          <w:sz w:val="20"/>
          <w:szCs w:val="20"/>
        </w:rPr>
        <w:t xml:space="preserve">[21]  </w:t>
      </w:r>
      <w:r>
        <w:rPr>
          <w:color w:val="1A1A1A"/>
          <w:sz w:val="20"/>
          <w:szCs w:val="20"/>
        </w:rPr>
        <w:t xml:space="preserve">Thurner, L. et al. (2018). “pandapower — An Open-Source Python Tool for Convenient Modeling, Analysis, and Optimization of Electric Power Systems.” IEEE Transactions on Power Systems 33(6).</w:t>
      </w:r>
    </w:p>
    <w:p>
      <w:pPr>
        <w:spacing w:after="90" w:line="252"/>
        <w:jc w:val="left"/>
      </w:pPr>
      <w:r>
        <w:rPr>
          <w:b/>
          <w:bCs/>
          <w:color w:val="0B6E4F"/>
          <w:sz w:val="20"/>
          <w:szCs w:val="20"/>
        </w:rPr>
        <w:t xml:space="preserve">[22]  </w:t>
      </w:r>
      <w:r>
        <w:rPr>
          <w:color w:val="1A1A1A"/>
          <w:sz w:val="20"/>
          <w:szCs w:val="20"/>
        </w:rPr>
        <w:t xml:space="preserve">Androulaki, E. et al. (2018). “Hyperledger Fabric: A Distributed Operating System for Permissioned Blockchains.” Proceedings of EuroSys 2018.</w:t>
      </w:r>
    </w:p>
    <w:p>
      <w:pPr>
        <w:spacing w:after="90" w:line="252"/>
        <w:jc w:val="left"/>
      </w:pPr>
      <w:r>
        <w:rPr>
          <w:b/>
          <w:bCs/>
          <w:color w:val="0B6E4F"/>
          <w:sz w:val="20"/>
          <w:szCs w:val="20"/>
        </w:rPr>
        <w:t xml:space="preserve">[23]  </w:t>
      </w:r>
      <w:r>
        <w:rPr>
          <w:color w:val="1A1A1A"/>
          <w:sz w:val="20"/>
          <w:szCs w:val="20"/>
        </w:rPr>
        <w:t xml:space="preserve">Open-Meteo (open-meteo.com) and European Commission JRC PVGIS — weather and solar-resource data documentation.</w:t>
      </w:r>
    </w:p>
    <w:p>
      <w:r>
        <w:br w:type="page"/>
      </w:r>
    </w:p>
    <w:p>
      <w:pPr>
        <w:pStyle w:val="Heading1"/>
        <w:spacing w:after="160" w:before="320"/>
      </w:pPr>
      <w:r>
        <w:rPr>
          <w:b/>
          <w:bCs/>
          <w:color w:val="0B6E4F"/>
          <w:sz w:val="30"/>
          <w:szCs w:val="30"/>
        </w:rPr>
        <w:t xml:space="preserve">APPENDIX A — HOW SOLARFLOW MAPS TO THE JUDGING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Criterion</w:t>
            </w:r>
          </w:p>
        </w:tc>
        <w:tc>
          <w:tcPr>
            <w:tcW w:type="dxa" w:w="6526"/>
            <w:tcBorders>
              <w:top w:val="single" w:color="CCCCCC" w:sz="4"/>
              <w:left w:val="single" w:color="CCCCCC" w:sz="4"/>
              <w:bottom w:val="single" w:color="CCCCCC" w:sz="4"/>
              <w:right w:val="single" w:color="CCCCCC" w:sz="4"/>
            </w:tcBorders>
            <w:shd w:fill="0B6E4F" w:val="clear"/>
            <w:tcMar>
              <w:top w:type="dxa" w:w="60"/>
              <w:left w:type="dxa" w:w="100"/>
              <w:bottom w:type="dxa" w:w="60"/>
              <w:right w:type="dxa" w:w="100"/>
            </w:tcMar>
          </w:tcPr>
          <w:p>
            <w:pPr>
              <w:spacing w:after="40" w:before="40" w:line="252"/>
              <w:jc w:val="left"/>
            </w:pPr>
            <w:r>
              <w:rPr>
                <w:b/>
                <w:bCs/>
                <w:color w:val="FFFFFF"/>
                <w:sz w:val="19"/>
                <w:szCs w:val="19"/>
              </w:rPr>
              <w:t xml:space="preserve">Where this proposal — and the live demo — proves it</w:t>
            </w:r>
          </w:p>
        </w:tc>
      </w:tr>
      <w:t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1. Core value demonstration</w:t>
            </w:r>
          </w:p>
        </w:tc>
        <w:tc>
          <w:tcPr>
            <w:tcW w:type="dxa" w:w="6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A real, current, documented problem (routine rooftop curtailment; LEZ charging surge) solved for named real users (Section 2.5, 6.1). Scene 1 vs. Scene 2 of the demo shows the value delta on identical days: energy saved, money paid, breach avoided.</w:t>
            </w:r>
          </w:p>
        </w:tc>
      </w:tr>
      <w:tr>
        <w:tc>
          <w:tcPr>
            <w:tcW w:type="dxa" w:w="2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2. Innovation &amp; impact</w:t>
            </w:r>
          </w:p>
        </w:tc>
        <w:tc>
          <w:tcPr>
            <w:tcW w:type="dxa" w:w="6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Five innovations (Section 5.1), led by the energy–mobility coupling no deployed platform offers; impact quantified bottom-up with visible assumptions (Section 6.2): 15–19 GWh and ≈10–12.5 ktCO₂ per year at Hanoi scale, plus mobility-side savings.</w:t>
            </w:r>
          </w:p>
        </w:tc>
      </w:tr>
      <w:t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3. User experience</w:t>
            </w:r>
          </w:p>
        </w:tc>
        <w:tc>
          <w:tcPr>
            <w:tcW w:type="dxa" w:w="6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Zalo Mini App with zero install; one-switch Auto-Sell; VND-first language; voice and large-type modes; explainable auction outcomes; the rider's “charged on sunshine” receipt. Accessibility is a design constraint, not a feature.</w:t>
            </w:r>
          </w:p>
        </w:tc>
      </w:tr>
      <w:tr>
        <w:tc>
          <w:tcPr>
            <w:tcW w:type="dxa" w:w="2500"/>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4. Scalability &amp; roadmap</w:t>
            </w:r>
          </w:p>
        </w:tc>
        <w:tc>
          <w:tcPr>
            <w:tcW w:type="dxa" w:w="6526"/>
            <w:tcBorders>
              <w:top w:val="single" w:color="CCCCCC" w:sz="4"/>
              <w:left w:val="single" w:color="CCCCCC" w:sz="4"/>
              <w:bottom w:val="single" w:color="CCCCCC" w:sz="4"/>
              <w:right w:val="single" w:color="CCCCCC" w:sz="4"/>
            </w:tcBorders>
            <w:shd w:fill="F5FAF7" w:val="clear"/>
            <w:tcMar>
              <w:top w:type="dxa" w:w="50"/>
              <w:left w:type="dxa" w:w="100"/>
              <w:bottom w:type="dxa" w:w="50"/>
              <w:right w:type="dxa" w:w="100"/>
            </w:tcMar>
          </w:tcPr>
          <w:p>
            <w:pPr>
              <w:spacing w:after="40" w:before="40" w:line="252"/>
              <w:jc w:val="left"/>
            </w:pPr>
            <w:r>
              <w:rPr>
                <w:b w:val="false"/>
                <w:bCs w:val="false"/>
                <w:color w:val="1A1A1A"/>
                <w:sz w:val="19"/>
                <w:szCs w:val="19"/>
              </w:rPr>
              <w:t xml:space="preserve">Modular-monolith architecture that splits into services under load; localisation-not-rearchitecture path across ASEAN; staged roadmap from shadow pilot to city scale with success metrics per stage (Section 5.3c).</w:t>
            </w:r>
          </w:p>
        </w:tc>
      </w:tr>
      <w:t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5. Technical feasibility</w:t>
            </w:r>
          </w:p>
        </w:tc>
        <w:tc>
          <w:tcPr>
            <w:tcW w:type="dxa" w:w="6526"/>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40" w:before="40" w:line="252"/>
              <w:jc w:val="left"/>
            </w:pPr>
            <w:r>
              <w:rPr>
                <w:b w:val="false"/>
                <w:bCs w:val="false"/>
                <w:color w:val="1A1A1A"/>
                <w:sz w:val="19"/>
                <w:szCs w:val="19"/>
              </w:rPr>
              <w:t xml:space="preserve">Commodity, open-source stack; standard problem classes; dual metering path; offline-capable demo; conservative safety margins and human override; regulation-native design that requires no new law to start (Sections 5.3d, 7).</w:t>
            </w:r>
          </w:p>
        </w:tc>
      </w:tr>
    </w:tbl>
    <w:p>
      <w:pPr>
        <w:spacing w:after="80"/>
      </w:pPr>
    </w:p>
    <w:p>
      <w:pPr>
        <w:spacing w:after="140" w:before="0" w:line="276"/>
        <w:jc w:val="both"/>
      </w:pPr>
      <w:r>
        <w:rPr>
          <w:b/>
          <w:bCs/>
          <w:i w:val="false"/>
          <w:iCs w:val="false"/>
          <w:color w:val="1A1A1A"/>
          <w:sz w:val="22"/>
          <w:szCs w:val="22"/>
        </w:rPr>
        <w:t xml:space="preserve">Team &amp; acknowledgements. </w:t>
      </w:r>
      <w:r>
        <w:rPr>
          <w:b w:val="false"/>
          <w:bCs w:val="false"/>
          <w:i w:val="false"/>
          <w:iCs w:val="false"/>
          <w:color w:val="1A1A1A"/>
          <w:sz w:val="22"/>
          <w:szCs w:val="22"/>
        </w:rPr>
        <w:t xml:space="preserve">Our interdisciplinary team covers the four competencies SolarFlow requires — time-series machine learning and constrained optimisation, power-systems modelling, distributed-systems and settlement engineering, and Vietnamese-language UX for low-technical-literacy users — with mentorship from VinUniversity's College of Engineering and Computer Science for domain validation and utility introductions. All code is released under Apache-2.0 at project close.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B6E4F" w:sz="8"/>
              <w:left w:val="single" w:color="0B6E4F" w:sz="16"/>
              <w:bottom w:val="single" w:color="0B6E4F" w:sz="8"/>
              <w:right w:val="single" w:color="0B6E4F" w:sz="8"/>
            </w:tcBorders>
            <w:shd w:fill="E7F4EE" w:val="clear"/>
            <w:tcMar>
              <w:top w:type="dxa" w:w="120"/>
              <w:left w:type="dxa" w:w="160"/>
              <w:bottom w:type="dxa" w:w="120"/>
              <w:right w:type="dxa" w:w="160"/>
            </w:tcMar>
          </w:tcPr>
          <w:p>
            <w:pPr>
              <w:spacing w:line="264"/>
              <w:jc w:val="both"/>
            </w:pPr>
            <w:r>
              <w:rPr>
                <w:b/>
                <w:bCs/>
                <w:i w:val="false"/>
                <w:iCs w:val="false"/>
                <w:color w:val="0B6E4F"/>
                <w:sz w:val="22"/>
                <w:szCs w:val="22"/>
              </w:rPr>
              <w:t xml:space="preserve">Closing. </w:t>
            </w:r>
            <w:r>
              <w:rPr>
                <w:b w:val="false"/>
                <w:bCs w:val="false"/>
                <w:i w:val="false"/>
                <w:iCs w:val="false"/>
                <w:color w:val="1A1A1A"/>
                <w:sz w:val="22"/>
                <w:szCs w:val="22"/>
              </w:rPr>
              <w:t xml:space="preserve">Vietnam has the panels, the data, the swap stations, and — as of this month — the policy moment. What is missing is the intelligence layer that connects them. SolarFlow is that layer: every safely exportable ray of morning sunshine becomes a fair payment to a household and a clean kilometre for a rider the same evening. We are ready to demonstrate it live.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SolarFlow — Sun-to-Wheels  |  Asian Hackathon for Green Future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SolarFlow — Sun-to-Wheels | Asian Hackathon for Green Future 2026</dc:title>
  <dc:creator>SolarFlow Team</dc:creator>
  <cp:lastModifiedBy>Un-named</cp:lastModifiedBy>
  <cp:revision>1</cp:revision>
  <dcterms:created xsi:type="dcterms:W3CDTF">2026-07-02T10:03:04.443Z</dcterms:created>
  <dcterms:modified xsi:type="dcterms:W3CDTF">2026-07-02T10:03:04.458Z</dcterms:modified>
</cp:coreProperties>
</file>

<file path=docProps/custom.xml><?xml version="1.0" encoding="utf-8"?>
<Properties xmlns="http://schemas.openxmlformats.org/officeDocument/2006/custom-properties" xmlns:vt="http://schemas.openxmlformats.org/officeDocument/2006/docPropsVTypes"/>
</file>