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F7A16"/>
          <w:spacing w:val="40"/>
          <w:sz w:val="22"/>
          <w:szCs w:val="22"/>
        </w:rPr>
        <w:t xml:space="preserve">STRATEGY MEMO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A1F3C"/>
          <w:sz w:val="40"/>
          <w:szCs w:val="40"/>
        </w:rPr>
        <w:t xml:space="preserve">Firm Clean Power for Vietnam's Digital Economy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A6B80"/>
          <w:sz w:val="24"/>
          <w:szCs w:val="24"/>
        </w:rPr>
        <w:t xml:space="preserve">Tier A &amp; Tier B startup ideas — analysis and recommended sequencing</w:t>
      </w:r>
    </w:p>
    <w:p>
      <w:pPr>
        <w:pBdr>
          <w:bottom w:val="single" w:color="3F7A16" w:sz="8" w:space="6"/>
        </w:pBdr>
        <w:spacing w:after="200"/>
      </w:pPr>
      <w:r>
        <w:rPr>
          <w:rFonts w:ascii="Calibri" w:cs="Calibri" w:eastAsia="Calibri" w:hAnsi="Calibri"/>
          <w:color w:val="5A6B80"/>
          <w:sz w:val="18"/>
          <w:szCs w:val="18"/>
        </w:rPr>
        <w:t xml:space="preserve">Working name: FirmGrid   ·   VinFuture InnovaTech Challenge 2026, Track 1   ·   Internal working draft</w:t>
      </w:r>
    </w:p>
    <w:tbl>
      <w:tblPr>
        <w:tblW w:type="dxa" w:w="9026"/>
        <w:tblBorders>
          <w:top w:val="single" w:color="3F7A16" w:sz="4"/>
          <w:left w:val="single" w:color="3F7A16" w:sz="12"/>
          <w:bottom w:val="single" w:color="3F7A16" w:sz="4"/>
          <w:right w:val="single" w:color="3F7A16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8F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21"/>
                <w:szCs w:val="21"/>
              </w:rPr>
              <w:t xml:space="preserve">The thesis in one line.  </w:t>
            </w:r>
            <w:r>
              <w:rPr>
                <w:rFonts w:ascii="Calibri" w:cs="Calibri" w:eastAsia="Calibri" w:hAnsi="Calibri"/>
                <w:color w:val="1C2733"/>
                <w:sz w:val="21"/>
                <w:szCs w:val="21"/>
              </w:rPr>
              <w:t xml:space="preserve">Vietnam doesn't have a solar problem or a nuclear problem — it has a </w:t>
            </w:r>
            <w:r>
              <w:rPr>
                <w:rFonts w:ascii="Calibri" w:cs="Calibri" w:eastAsia="Calibri" w:hAnsi="Calibri"/>
                <w:b/>
                <w:bCs/>
                <w:color w:val="3F7A16"/>
                <w:sz w:val="21"/>
                <w:szCs w:val="21"/>
              </w:rPr>
              <w:t xml:space="preserve">firmness</w:t>
            </w:r>
            <w:r>
              <w:rPr>
                <w:rFonts w:ascii="Calibri" w:cs="Calibri" w:eastAsia="Calibri" w:hAnsi="Calibri"/>
                <w:color w:val="1C2733"/>
                <w:sz w:val="21"/>
                <w:szCs w:val="21"/>
              </w:rPr>
              <w:t xml:space="preserve"> problem, and firmness has become a </w:t>
            </w:r>
            <w:r>
              <w:rPr>
                <w:rFonts w:ascii="Calibri" w:cs="Calibri" w:eastAsia="Calibri" w:hAnsi="Calibri"/>
                <w:b/>
                <w:bCs/>
                <w:color w:val="13697B"/>
                <w:sz w:val="21"/>
                <w:szCs w:val="21"/>
              </w:rPr>
              <w:t xml:space="preserve">software</w:t>
            </w:r>
            <w:r>
              <w:rPr>
                <w:rFonts w:ascii="Calibri" w:cs="Calibri" w:eastAsia="Calibri" w:hAnsi="Calibri"/>
                <w:color w:val="1C2733"/>
                <w:sz w:val="21"/>
                <w:szCs w:val="21"/>
              </w:rPr>
              <w:t xml:space="preserve"> problem. We turn Vietnam's ~16 GW of idle, variable solar into firm, 24/7 clean power the digital economy is already mandated and willing to pay for.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A1F3C"/>
          <w:sz w:val="30"/>
          <w:szCs w:val="30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>Vietnam's power strategy runs on two tracks. Nuclear was revived in the April 2025 power-plan revision (Ninh Thuận 1 targeting first units in 2030–2035), but there is </w:t>
      </w:r>
      <w:r>
        <w:rPr>
          <w:rFonts w:ascii="Calibri" w:cs="Calibri" w:eastAsia="Calibri" w:hAnsi="Calibri"/>
          <w:b/>
          <w:bCs/>
          <w:color w:val="1C2733"/>
          <w:sz w:val="21"/>
          <w:szCs w:val="21"/>
        </w:rPr>
        <w:t xml:space="preserve">no operating commercial reactor today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 and the financing and waste-cycle questions are unresolved. Solar, by contrast, is already large (~16 GW installed) but </w:t>
      </w:r>
      <w:r>
        <w:rPr>
          <w:rFonts w:ascii="Calibri" w:cs="Calibri" w:eastAsia="Calibri" w:hAnsi="Calibri"/>
          <w:b/>
          <w:bCs/>
          <w:color w:val="1C2733"/>
          <w:sz w:val="21"/>
          <w:szCs w:val="21"/>
        </w:rPr>
        <w:t xml:space="preserve">variable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 — the 2018–2021 boom overwhelmed the grid, caused curtailment, and left a legacy of roughly $13bn in investor disputes over retroactive tariff changes.</w:t>
      </w:r>
    </w:p>
    <w:p>
      <w:pPr>
        <w:spacing w:after="120" w:line="276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>Meanwhile demand is about to spike. Data-centre electricity demand is projected to roughly double from ~735 MW (2025) to ~1,330–1,543 MW by 2030 — AI facilities with racks up to 60 kW that need 24/7 reliability, on a grid that already suffers outages at peak. The digital transformation causing the crunch also creates the ideal customer: buyers who </w:t>
      </w:r>
      <w:r>
        <w:rPr>
          <w:rFonts w:ascii="Calibri" w:cs="Calibri" w:eastAsia="Calibri" w:hAnsi="Calibri"/>
          <w:b/>
          <w:bCs/>
          <w:color w:val="3F7A16"/>
          <w:sz w:val="21"/>
          <w:szCs w:val="21"/>
        </w:rPr>
        <w:t xml:space="preserve">need firm, clean, hour-matched power and will pay a premium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 for it.</w:t>
      </w:r>
    </w:p>
    <w:p>
      <w:pPr>
        <w:spacing w:after="120" w:line="276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>The gap between cheap daytime kWh and a bankable 24/7 clean block is not silicon or concrete — it is forecasting, storage orchestration, dispatch optimisation, PPA structuring, and hour-by-hour matching. That layer is </w:t>
      </w:r>
      <w:r>
        <w:rPr>
          <w:rFonts w:ascii="Calibri" w:cs="Calibri" w:eastAsia="Calibri" w:hAnsi="Calibri"/>
          <w:b/>
          <w:bCs/>
          <w:color w:val="1C2733"/>
          <w:sz w:val="21"/>
          <w:szCs w:val="21"/>
        </w:rPr>
        <w:t xml:space="preserve">digital, capital-light, and currently empty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. The regulatory door just opened (Decision 2161 / the DPPA mechanism), and there is a mandate (≥50% of data-centre capacity green by 2030) — but no software company delivering firmness. That is the opening this venture takes.</w:t>
      </w:r>
    </w:p>
    <w:p>
      <w:pPr>
        <w:spacing w:after="120" w:line="276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>This memo analyses four product ideas across two tiers, recommends a sequence (ship a forecasting </w:t>
      </w:r>
      <w:r>
        <w:rPr>
          <w:rFonts w:ascii="Calibri" w:cs="Calibri" w:eastAsia="Calibri" w:hAnsi="Calibri"/>
          <w:i/>
          <w:iCs/>
          <w:color w:val="1C2733"/>
          <w:sz w:val="21"/>
          <w:szCs w:val="21"/>
        </w:rPr>
        <w:t xml:space="preserve">wedge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 → prove one firm block → become the platform), and shows how each maps to the VinFuture scorecard. Nuclear is treated as a strategic </w:t>
      </w:r>
      <w:r>
        <w:rPr>
          <w:rFonts w:ascii="Calibri" w:cs="Calibri" w:eastAsia="Calibri" w:hAnsi="Calibri"/>
          <w:i/>
          <w:iCs/>
          <w:color w:val="1C2733"/>
          <w:sz w:val="21"/>
          <w:szCs w:val="21"/>
        </w:rPr>
        <w:t xml:space="preserve">bridge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, not a competitor.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A1F3C"/>
          <w:sz w:val="30"/>
          <w:szCs w:val="30"/>
        </w:rPr>
        <w:t xml:space="preserve">2. Market context: the collision and the gap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3697B"/>
          <w:sz w:val="24"/>
          <w:szCs w:val="24"/>
        </w:rPr>
        <w:t xml:space="preserve">2.1  Demand is soaring; firm clean supply is flat</w:t>
      </w:r>
    </w:p>
    <w:tbl>
      <w:tblPr>
        <w:tblW w:type="dxa" w:w="9026"/>
        <w:tblBorders>
          <w:top w:val="single" w:color="C7D3E0" w:sz="4"/>
          <w:left w:val="single" w:color="C7D3E0" w:sz="4"/>
          <w:bottom w:val="single" w:color="C7D3E0" w:sz="4"/>
          <w:right w:val="single" w:color="C7D3E0" w:sz="4"/>
          <w:insideH w:val="single" w:color="DCE5EF" w:sz="4"/>
          <w:insideV w:val="single" w:color="DCE5EF" w:sz="4"/>
        </w:tblBorders>
      </w:tblPr>
      <w:tblGrid>
        <w:gridCol w:w="3200"/>
        <w:gridCol w:w="2913"/>
        <w:gridCol w:w="2913"/>
      </w:tblGrid>
      <w:tr>
        <w:trPr>
          <w:tblHeader/>
        </w:trPr>
        <w:tc>
          <w:tcPr>
            <w:tcW w:type="dxa" w:w="3200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Force</w:t>
            </w:r>
          </w:p>
        </w:tc>
        <w:tc>
          <w:tcPr>
            <w:tcW w:type="dxa" w:w="2913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What's happening</w:t>
            </w:r>
          </w:p>
        </w:tc>
        <w:tc>
          <w:tcPr>
            <w:tcW w:type="dxa" w:w="2913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Implication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3697B"/>
                <w:sz w:val="19"/>
                <w:szCs w:val="19"/>
              </w:rPr>
              <w:t xml:space="preserve">Digital demand ↑</w:t>
            </w:r>
          </w:p>
        </w:tc>
        <w:tc>
          <w:tcPr>
            <w:tcW w:type="dxa" w:w="29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Data-centre power ~735 MW (2025) → 1,330–1,543 MW (2030), +81–110%. Data-localisation law (Jan 2026) forces domestic builds; AI racks up to 60 kW.</w:t>
            </w:r>
          </w:p>
        </w:tc>
        <w:tc>
          <w:tcPr>
            <w:tcW w:type="dxa" w:w="29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A large, fast-growing, premium load that specifically needs 24/7 clean power.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9"/>
                <w:szCs w:val="19"/>
              </w:rPr>
              <w:t xml:space="preserve">Firm supply flat</w:t>
            </w:r>
          </w:p>
        </w:tc>
        <w:tc>
          <w:tcPr>
            <w:tcW w:type="dxa" w:w="29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Zero operating commercial reactors; Ninh Thuận 1 earliest 2030–35. Grid outages at peak; ~$128bn grid investment needed by 2030.</w:t>
            </w:r>
          </w:p>
        </w:tc>
        <w:tc>
          <w:tcPr>
            <w:tcW w:type="dxa" w:w="29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Nothing firm and clean arrives at scale before the early-mid 2030s.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7A16"/>
                <w:sz w:val="19"/>
                <w:szCs w:val="19"/>
              </w:rPr>
              <w:t xml:space="preserve">Solar abundant but raw</w:t>
            </w:r>
          </w:p>
        </w:tc>
        <w:tc>
          <w:tcPr>
            <w:tcW w:type="dxa" w:w="29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~16 GW installed; PDP8 pushes solar to 25–31% of capacity by 2030. But curtailment, congestion, and tariff disputes persist.</w:t>
            </w:r>
          </w:p>
        </w:tc>
        <w:tc>
          <w:tcPr>
            <w:tcW w:type="dxa" w:w="29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The next MW of solar has low value unless firmed. Firming — not building — is the constraint.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3697B"/>
          <w:sz w:val="24"/>
          <w:szCs w:val="24"/>
        </w:rPr>
        <w:t xml:space="preserve">2.2  Why the gap is a software gap</w:t>
      </w:r>
    </w:p>
    <w:p>
      <w:pPr>
        <w:spacing w:after="120" w:line="276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>Solar doesn't become firm because panels change; it becomes firm because the system around them changes. The firmness stack is largely digital and market-design work: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1C2733"/>
          <w:sz w:val="21"/>
          <w:szCs w:val="21"/>
        </w:rPr>
        <w:t xml:space="preserve">Probabilistic forecasting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 — hour-ahead to day-ahead confidence bands, not point forecasts, so a block can be guaranteed.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1C2733"/>
          <w:sz w:val="21"/>
          <w:szCs w:val="21"/>
        </w:rPr>
        <w:t xml:space="preserve">Storage orchestration &amp; dispatch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 — deciding when to charge, discharge, arbitrage, and hold reserve across a fleet.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1C2733"/>
          <w:sz w:val="21"/>
          <w:szCs w:val="21"/>
        </w:rPr>
        <w:t xml:space="preserve">24/7 CFE matching &amp; measurement (M&amp;V)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 — hour-by-hour matching of clean supply to load, auditable enough to put in a contract.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1C2733"/>
          <w:sz w:val="21"/>
          <w:szCs w:val="21"/>
        </w:rPr>
        <w:t xml:space="preserve">PPA / DPPA structuring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 — turning shaped output into a product a data centre will sign for 10–15 years.</w:t>
      </w:r>
    </w:p>
    <w:p>
      <w:pPr>
        <w:spacing w:after="120" w:line="276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>The enabling policy exists (Decision 2161, Sept 2025; the DPPA mechanism; a ≥50%-green-by-2030 data-centre target) but the delivery layer does not. </w:t>
      </w:r>
      <w:r>
        <w:rPr>
          <w:rFonts w:ascii="Calibri" w:cs="Calibri" w:eastAsia="Calibri" w:hAnsi="Calibri"/>
          <w:b/>
          <w:bCs/>
          <w:color w:val="3F7A16"/>
          <w:sz w:val="21"/>
          <w:szCs w:val="21"/>
        </w:rPr>
        <w:t xml:space="preserve">That is the whitespace.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A1F3C"/>
          <w:sz w:val="30"/>
          <w:szCs w:val="30"/>
        </w:rPr>
        <w:t xml:space="preserve">3. The four ideas (Tier A &amp; Tier B)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6B80"/>
          <w:sz w:val="21"/>
          <w:szCs w:val="21"/>
        </w:rPr>
        <w:t xml:space="preserve">Ranked by fit for a small, capital-light, AI-strong team — not by how large they sound. Tier A is software-first and should lead; Tier B is hybrid/asset-light expansion. Tier C ideas (grid-edge siting analytics; nuclear-adjacent) are noted at the end but not recommended as the lead.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3F7A16"/>
          <w:sz w:val="24"/>
          <w:szCs w:val="24"/>
        </w:rPr>
        <w:t xml:space="preserve">3.1  Firm Clean Power platform (VPP + 24/7 CFE + DPPA)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F7A16"/>
          <w:sz w:val="19"/>
          <w:szCs w:val="19"/>
        </w:rPr>
        <w:t xml:space="preserve">TIER A · FLAGSHIP</w:t>
      </w:r>
    </w:p>
    <w:tbl>
      <w:tblPr>
        <w:tblW w:type="dxa" w:w="9026"/>
        <w:tblBorders>
          <w:top w:val="single" w:color="C7D3E0" w:sz="4"/>
          <w:left w:val="single" w:color="C7D3E0" w:sz="4"/>
          <w:bottom w:val="single" w:color="C7D3E0" w:sz="4"/>
          <w:right w:val="single" w:color="C7D3E0" w:sz="4"/>
          <w:insideH w:val="single" w:color="DCE5EF" w:sz="4"/>
          <w:insideV w:val="single" w:color="DCE5EF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626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What it is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Aggregate distributed rooftop / C&amp;I solar and behind-the-meter batteries into dispatchable firm 24/7 blocks, and sell them via DPPA to data centres, IFC tenants, and export manufacturers. A virtual power plant with a marketplace and contract layer on top.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The buyer &amp; willingness to pay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Data centres and exporters that need carbon-free-energy matching and pay a premium over grid tariff for verifiable 24/7 clean supply. Mandate-driven (≥50% green by 2030) and outage-driven demand.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Business model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Platform take-rate on firm-power volume contracted; optional structuring / M&amp;V fees. You own no generation assets.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Moat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The orchestration engine (forecast + dispatch + match) plus the contract/measurement layer; data flywheel — accuracy improves per site onboarded. Early-mover position as DPPA markets mature.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MVP scope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One firm block: aggregate a C&amp;I solar cluster + batteries, structure a single DPPA to one data centre, deliver and measure a contracted 24/7 clean block.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Capital intensity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Low (software + orchestration). Generation/storage capex sits with asset owners / financing partners.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Time to first revenue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Medium (9–24 months) — depends on a pilot off-taker and asset partners.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Key risks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Ancillary-service / firm-power market design still immature; EVN single-buyer friction; needs at least one credible pilot off-taker to prove the block.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Verdict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The flagship. Sits exactly on the digital × energy intersection; large TAM; defensible; capital-light. Lead the pitch with this — reached via the wedge below.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3F7A16"/>
          <w:sz w:val="24"/>
          <w:szCs w:val="24"/>
        </w:rPr>
        <w:t xml:space="preserve">3.2  Solar forecasting &amp; curtailment-reduction / dispatch SaaS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F7A16"/>
          <w:sz w:val="19"/>
          <w:szCs w:val="19"/>
        </w:rPr>
        <w:t xml:space="preserve">TIER A · WEDGE</w:t>
      </w:r>
    </w:p>
    <w:tbl>
      <w:tblPr>
        <w:tblW w:type="dxa" w:w="9026"/>
        <w:tblBorders>
          <w:top w:val="single" w:color="C7D3E0" w:sz="4"/>
          <w:left w:val="single" w:color="C7D3E0" w:sz="4"/>
          <w:bottom w:val="single" w:color="C7D3E0" w:sz="4"/>
          <w:right w:val="single" w:color="C7D3E0" w:sz="4"/>
          <w:insideH w:val="single" w:color="DCE5EF" w:sz="4"/>
          <w:insideV w:val="single" w:color="DCE5EF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626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What it is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Probabilistic forecasting and dispatch-optimisation software sold to utility-scale plants and EVN to cut curtailment and improve bankability. Narrower and faster than the platform.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The buyer &amp; willingness to pay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Solar developers / IPPs and the utility, who lose money to curtailment and forecast penalties. Clear, quantifiable ROI (avoided curtailment, better dispatch).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Business model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Per-plant SaaS subscription; optional performance share on curtailment avoided.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Moat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Forecasting accuracy + the same data flywheel that feeds idea 1. This is the technical core of the whole company.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MVP scope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A forecasting model demonstrably beating the plant's baseline on 2–3 real or public datasets; a dashboard that drives a dispatch/bid decision (not just visualisation — the challenge penalises dashboards that don't enable action).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Capital intensity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Very low (pure software).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Time to first revenue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Fast (0–12 months).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Key risks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Narrow on its own; must be positioned as the entry wedge to the platform, not the end state.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Verdict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Ship this first. It is the fastest working prototype, generates early revenue, and is the natural on-ramp to the Tier A flagship.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3697B"/>
          <w:sz w:val="24"/>
          <w:szCs w:val="24"/>
        </w:rPr>
        <w:t xml:space="preserve">3.3  Data-centre / industrial-park microgrid orchestration (Energy-as-a-Service)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3697B"/>
          <w:sz w:val="19"/>
          <w:szCs w:val="19"/>
        </w:rPr>
        <w:t xml:space="preserve">TIER B · EXPANSION</w:t>
      </w:r>
    </w:p>
    <w:tbl>
      <w:tblPr>
        <w:tblW w:type="dxa" w:w="9026"/>
        <w:tblBorders>
          <w:top w:val="single" w:color="C7D3E0" w:sz="4"/>
          <w:left w:val="single" w:color="C7D3E0" w:sz="4"/>
          <w:bottom w:val="single" w:color="C7D3E0" w:sz="4"/>
          <w:right w:val="single" w:color="C7D3E0" w:sz="4"/>
          <w:insideH w:val="single" w:color="DCE5EF" w:sz="4"/>
          <w:insideV w:val="single" w:color="DCE5EF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626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What it is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Behind-the-meter solar + storage with an AI energy-management brain and demand response, sold as Energy-as-a-Service so the hardware capex sits with a financing partner. Serves the 24/7 buyer directly, on-site.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The buyer &amp; willingness to pay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Industrial parks, ports, and data centres that value uptime and a clean-power guarantee; pay for resilience + green attributes as a service.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Business model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Recurring management fee / EaaS margin on orchestrated capacity; you sell the intelligence and the uptime guarantee, not the panels.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Moat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Same optimisation engine applied behind-the-meter; site-level operating data; switching costs once embedded in operations.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MVP scope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One industrial-park or data-centre pilot with a solar+storage EMS + DR controller; demonstrate cost and reliability improvement.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Capital intensity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Medium — mitigated by EaaS structuring with a financing partner (asset-light to you).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Time to first revenue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Medium (12–24 months); longer sales cycle, larger contracts.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Key risks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Financing-partner dependency; longer enterprise sales; execution/ops complexity per site.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Verdict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Strong expansion once the platform exists — it deepens the relationship with the exact 24/7 buyer. Not the first move.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3697B"/>
          <w:sz w:val="24"/>
          <w:szCs w:val="24"/>
        </w:rPr>
        <w:t xml:space="preserve">3.4  “Battery brain” — storage revenue-stacking &amp; market participation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3697B"/>
          <w:sz w:val="19"/>
          <w:szCs w:val="19"/>
        </w:rPr>
        <w:t xml:space="preserve">TIER B · EXPANSION</w:t>
      </w:r>
    </w:p>
    <w:tbl>
      <w:tblPr>
        <w:tblW w:type="dxa" w:w="9026"/>
        <w:tblBorders>
          <w:top w:val="single" w:color="C7D3E0" w:sz="4"/>
          <w:left w:val="single" w:color="C7D3E0" w:sz="4"/>
          <w:bottom w:val="single" w:color="C7D3E0" w:sz="4"/>
          <w:right w:val="single" w:color="C7D3E0" w:sz="4"/>
          <w:insideH w:val="single" w:color="DCE5EF" w:sz="4"/>
          <w:insideV w:val="single" w:color="DCE5EF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626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What it is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Optimisation and market-participation software for the BESS fleet Vietnam is about to build: arbitrage plus ancillary services (frequency, reserves) as those markets open. Software attached to other people's assets.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The buyer &amp; willingness to pay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Battery / hybrid-plant owners seeking to maximise the revenue stack from their assets; pay a share of upside.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Business model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SaaS + share of arbitrage / ancillary-service revenue captured.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Moat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Dispatch optimisation IP (shared with ideas 1–3); market-rules expertise; first-mover as Vietnam's ancillary markets form.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MVP scope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A dispatch/bid optimiser backtested against price and (as they emerge) ancillary-service signals; a clear revenue-uplift figure.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Capital intensity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Very low (software).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Time to first revenue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Medium — gated by how fast ancillary-service markets and price spreads mature.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Key risks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Revenue stack depends on market design that is still immature — a timing bet on regulation.</w:t>
            </w:r>
          </w:p>
        </w:tc>
      </w:tr>
      <w:tr>
        <w:tc>
          <w:tcPr>
            <w:tcW w:type="dxa" w:w="2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Verdict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A natural add-on that monetises the same engine; sequence after the platform, as storage and markets scale.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3697B"/>
          <w:sz w:val="24"/>
          <w:szCs w:val="24"/>
        </w:rPr>
        <w:t xml:space="preserve">3.5  Side-by-side comparison</w:t>
      </w:r>
    </w:p>
    <w:tbl>
      <w:tblPr>
        <w:tblW w:type="dxa" w:w="9026"/>
        <w:tblBorders>
          <w:top w:val="single" w:color="C7D3E0" w:sz="4"/>
          <w:left w:val="single" w:color="C7D3E0" w:sz="4"/>
          <w:bottom w:val="single" w:color="C7D3E0" w:sz="4"/>
          <w:right w:val="single" w:color="C7D3E0" w:sz="4"/>
          <w:insideH w:val="single" w:color="DCE5EF" w:sz="4"/>
          <w:insideV w:val="single" w:color="DCE5EF" w:sz="4"/>
        </w:tblBorders>
      </w:tblPr>
      <w:tblGrid>
        <w:gridCol w:w="2500"/>
        <w:gridCol w:w="1180"/>
        <w:gridCol w:w="1180"/>
        <w:gridCol w:w="1180"/>
        <w:gridCol w:w="1180"/>
        <w:gridCol w:w="1806"/>
      </w:tblGrid>
      <w:tr>
        <w:trPr>
          <w:tblHeader/>
        </w:trPr>
        <w:tc>
          <w:tcPr>
            <w:tcW w:type="dxa" w:w="2500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1180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Capital</w:t>
            </w:r>
          </w:p>
        </w:tc>
        <w:tc>
          <w:tcPr>
            <w:tcW w:type="dxa" w:w="1180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 to revenue</w:t>
            </w:r>
          </w:p>
        </w:tc>
        <w:tc>
          <w:tcPr>
            <w:tcW w:type="dxa" w:w="1180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Moat</w:t>
            </w:r>
          </w:p>
        </w:tc>
        <w:tc>
          <w:tcPr>
            <w:tcW w:type="dxa" w:w="1180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TAM ceiling</w:t>
            </w:r>
          </w:p>
        </w:tc>
        <w:tc>
          <w:tcPr>
            <w:tcW w:type="dxa" w:w="1806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C2733"/>
                <w:sz w:val="19"/>
                <w:szCs w:val="19"/>
              </w:rPr>
              <w:t xml:space="preserve">1  Firm Power platform</w:t>
            </w:r>
          </w:p>
        </w:tc>
        <w:tc>
          <w:tcPr>
            <w:tcW w:type="dxa" w:w="11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Low</w:t>
            </w:r>
          </w:p>
        </w:tc>
        <w:tc>
          <w:tcPr>
            <w:tcW w:type="dxa" w:w="11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Medium</w:t>
            </w:r>
          </w:p>
        </w:tc>
        <w:tc>
          <w:tcPr>
            <w:tcW w:type="dxa" w:w="11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F7A16"/>
                <w:sz w:val="19"/>
                <w:szCs w:val="19"/>
              </w:rPr>
              <w:t xml:space="preserve">High</w:t>
            </w:r>
          </w:p>
        </w:tc>
        <w:tc>
          <w:tcPr>
            <w:tcW w:type="dxa" w:w="11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Very high</w:t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7A16"/>
                <w:sz w:val="19"/>
                <w:szCs w:val="19"/>
              </w:rPr>
              <w:t xml:space="preserve">Flagship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C2733"/>
                <w:sz w:val="19"/>
                <w:szCs w:val="19"/>
              </w:rPr>
              <w:t xml:space="preserve">2  Forecasting SaaS</w:t>
            </w:r>
          </w:p>
        </w:tc>
        <w:tc>
          <w:tcPr>
            <w:tcW w:type="dxa" w:w="11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Very low</w:t>
            </w:r>
          </w:p>
        </w:tc>
        <w:tc>
          <w:tcPr>
            <w:tcW w:type="dxa" w:w="11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F7A16"/>
                <w:sz w:val="19"/>
                <w:szCs w:val="19"/>
              </w:rPr>
              <w:t xml:space="preserve">Fast</w:t>
            </w:r>
          </w:p>
        </w:tc>
        <w:tc>
          <w:tcPr>
            <w:tcW w:type="dxa" w:w="11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Medium-High</w:t>
            </w:r>
          </w:p>
        </w:tc>
        <w:tc>
          <w:tcPr>
            <w:tcW w:type="dxa" w:w="11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Medium</w:t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7A16"/>
                <w:sz w:val="19"/>
                <w:szCs w:val="19"/>
              </w:rPr>
              <w:t xml:space="preserve">Wedge (ship first)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C2733"/>
                <w:sz w:val="19"/>
                <w:szCs w:val="19"/>
              </w:rPr>
              <w:t xml:space="preserve">3  Microgrid EaaS</w:t>
            </w:r>
          </w:p>
        </w:tc>
        <w:tc>
          <w:tcPr>
            <w:tcW w:type="dxa" w:w="11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Medium</w:t>
            </w:r>
          </w:p>
        </w:tc>
        <w:tc>
          <w:tcPr>
            <w:tcW w:type="dxa" w:w="11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Medium</w:t>
            </w:r>
          </w:p>
        </w:tc>
        <w:tc>
          <w:tcPr>
            <w:tcW w:type="dxa" w:w="11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Medium-High</w:t>
            </w:r>
          </w:p>
        </w:tc>
        <w:tc>
          <w:tcPr>
            <w:tcW w:type="dxa" w:w="11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High</w:t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3697B"/>
                <w:sz w:val="19"/>
                <w:szCs w:val="19"/>
              </w:rPr>
              <w:t xml:space="preserve">Expansion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C2733"/>
                <w:sz w:val="19"/>
                <w:szCs w:val="19"/>
              </w:rPr>
              <w:t xml:space="preserve">4  Battery brain</w:t>
            </w:r>
          </w:p>
        </w:tc>
        <w:tc>
          <w:tcPr>
            <w:tcW w:type="dxa" w:w="11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Very low</w:t>
            </w:r>
          </w:p>
        </w:tc>
        <w:tc>
          <w:tcPr>
            <w:tcW w:type="dxa" w:w="11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Medium</w:t>
            </w:r>
          </w:p>
        </w:tc>
        <w:tc>
          <w:tcPr>
            <w:tcW w:type="dxa" w:w="11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Medium</w:t>
            </w:r>
          </w:p>
        </w:tc>
        <w:tc>
          <w:tcPr>
            <w:tcW w:type="dxa" w:w="11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Medium</w:t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3697B"/>
                <w:sz w:val="19"/>
                <w:szCs w:val="19"/>
              </w:rPr>
              <w:t xml:space="preserve">Expansion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A1F3C"/>
          <w:sz w:val="30"/>
          <w:szCs w:val="30"/>
        </w:rPr>
        <w:t xml:space="preserve">4. Recommended sequencing</w:t>
      </w:r>
    </w:p>
    <w:p>
      <w:pPr>
        <w:spacing w:after="120" w:line="276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>Pitch one company with a wedge and a roadmap — not four ideas. The four products are stages of the same platform: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3F7A16"/>
          <w:sz w:val="21"/>
          <w:szCs w:val="21"/>
        </w:rPr>
        <w:t xml:space="preserve">Phase 1 (0–12 mo) — Wedge. 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Ship the forecasting / curtailment-reduction SaaS (idea 2). Sign 2–3 plants. This is your working prototype and first revenue, and it builds the forecasting core.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3F7A16"/>
          <w:sz w:val="21"/>
          <w:szCs w:val="21"/>
        </w:rPr>
        <w:t xml:space="preserve">Phase 2 (12–30 mo) — First firm block. 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Aggregate C&amp;I solar + storage into a VPP and structure one DPPA to a data centre (idea 1). Deliver Vietnam's first contracted 24/7 clean-power block — the proof point.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3F7A16"/>
          <w:sz w:val="21"/>
          <w:szCs w:val="21"/>
        </w:rPr>
        <w:t xml:space="preserve">Phase 3 (30 mo+) — Platform. 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Scale firm-power contracting and microgrid EaaS (idea 3), add storage revenue-stacking (idea 4), and replicate across ASEAN's identical problem.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733"/>
          <w:sz w:val="21"/>
          <w:szCs w:val="21"/>
        </w:rPr>
        <w:t xml:space="preserve">For the competition specifically: 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the demonstrable MVP should be the forecasting engine plus a firm-block simulator (given real solar + load profiles, show the shaped 24/7 block, its cost, and the matching quality). That satisfies the challenge's demand for a working prototype that enables a real decision, not just a dashboard.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A1F3C"/>
          <w:sz w:val="30"/>
          <w:szCs w:val="30"/>
        </w:rPr>
        <w:t xml:space="preserve">5. How nuclear fits the narrative</w:t>
      </w:r>
    </w:p>
    <w:p>
      <w:pPr>
        <w:spacing w:after="120" w:line="276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>Do not pitch solar against nuclear. Pitch the firm-power layer that makes both work — and that Vietnam needs before either arrives at scale.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1C2733"/>
          <w:sz w:val="21"/>
          <w:szCs w:val="21"/>
        </w:rPr>
        <w:t xml:space="preserve">Nuclear is the strategic destination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 — low-carbon firm baseload, but a decade out and institutionally immature.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1C2733"/>
          <w:sz w:val="21"/>
          <w:szCs w:val="21"/>
        </w:rPr>
        <w:t xml:space="preserve">The platform is the bridge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 — it keeps the digital economy powered and clean from now to 2035, and builds the flexible, storage-rich, digitised grid nuclear will plug into.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3F7A16"/>
          <w:sz w:val="21"/>
          <w:szCs w:val="21"/>
        </w:rPr>
        <w:t xml:space="preserve">You win either way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 — if nuclear lands on time you prepared the grid; if it slips (it usually does) you are why the lights stayed on and the green targets were met. A no-regrets bet, and catnip for judges and policymakers.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/>
          <w:iCs/>
          <w:color w:val="5A6B80"/>
          <w:sz w:val="21"/>
          <w:szCs w:val="21"/>
        </w:rPr>
        <w:t xml:space="preserve">Accuracy note: </w:t>
      </w:r>
      <w:r>
        <w:rPr>
          <w:rFonts w:ascii="Calibri" w:cs="Calibri" w:eastAsia="Calibri" w:hAnsi="Calibri"/>
          <w:i/>
          <w:iCs/>
          <w:color w:val="5A6B80"/>
          <w:sz w:val="21"/>
          <w:szCs w:val="21"/>
        </w:rPr>
        <w:t xml:space="preserve">Ninh Thuận 1 is currently framed as two large VVER-1200 units (~2.4 GW), not SMRs, despite some industry commentary calling Vietnam's nuclear “SMRs.” Keep the on-stage claim generic (“firm nuclear baseload targeted 2030–2035”) to avoid a factual snag in Q&amp;A.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A1F3C"/>
          <w:sz w:val="30"/>
          <w:szCs w:val="30"/>
        </w:rPr>
        <w:t xml:space="preserve">6. Mapping to the VinFuture scorecard</w:t>
      </w:r>
    </w:p>
    <w:tbl>
      <w:tblPr>
        <w:tblW w:type="dxa" w:w="9026"/>
        <w:tblBorders>
          <w:top w:val="single" w:color="C7D3E0" w:sz="4"/>
          <w:left w:val="single" w:color="C7D3E0" w:sz="4"/>
          <w:bottom w:val="single" w:color="C7D3E0" w:sz="4"/>
          <w:right w:val="single" w:color="C7D3E0" w:sz="4"/>
          <w:insideH w:val="single" w:color="DCE5EF" w:sz="4"/>
          <w:insideV w:val="single" w:color="DCE5EF" w:sz="4"/>
        </w:tblBorders>
      </w:tblPr>
      <w:tblGrid>
        <w:gridCol w:w="2100"/>
        <w:gridCol w:w="1100"/>
        <w:gridCol w:w="5826"/>
      </w:tblGrid>
      <w:tr>
        <w:trPr>
          <w:tblHeader/>
        </w:trPr>
        <w:tc>
          <w:tcPr>
            <w:tcW w:type="dxa" w:w="2100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100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5826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this venture scores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C2733"/>
                <w:sz w:val="19"/>
                <w:szCs w:val="19"/>
              </w:rPr>
              <w:t xml:space="preserve">Product feasibility &amp; quality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F7A16"/>
                <w:sz w:val="19"/>
                <w:szCs w:val="19"/>
              </w:rPr>
              <w:t xml:space="preserve">40%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Capital-light SaaS wedge with a demonstrable forecasting MVP + firm-block simulator; a clear, buildable technical core.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C2733"/>
                <w:sz w:val="19"/>
                <w:szCs w:val="19"/>
              </w:rPr>
              <w:t xml:space="preserve">Social &amp; environmental impact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F7A16"/>
                <w:sz w:val="19"/>
                <w:szCs w:val="19"/>
              </w:rPr>
              <w:t xml:space="preserve">30%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Decarbonises the digital boom, relieves grid curtailment, and is capital-efficient versus nuclear; unlocks green FDI.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C2733"/>
                <w:sz w:val="19"/>
                <w:szCs w:val="19"/>
              </w:rPr>
              <w:t xml:space="preserve">Creativity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697B"/>
                <w:sz w:val="19"/>
                <w:szCs w:val="19"/>
              </w:rPr>
              <w:t xml:space="preserve">15%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The reframe itself — firmness-as-software, not another solar farm — is the novel idea.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C2733"/>
                <w:sz w:val="19"/>
                <w:szCs w:val="19"/>
              </w:rPr>
              <w:t xml:space="preserve">Presentation &amp; critical thinking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697B"/>
                <w:sz w:val="19"/>
                <w:szCs w:val="19"/>
              </w:rPr>
              <w:t xml:space="preserve">15%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A tight problem→insight→product→impact arc, plus an honest risk section that survives Q&amp;A (Section 7).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A1F3C"/>
          <w:sz w:val="30"/>
          <w:szCs w:val="30"/>
        </w:rPr>
        <w:t xml:space="preserve">7. Risks &amp; counter-arguments (build these into Q&amp;A)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B26A00"/>
          <w:sz w:val="21"/>
          <w:szCs w:val="21"/>
        </w:rPr>
        <w:t xml:space="preserve">Risk: 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Ancillary-service and firm-power markets are still immature.  </w:t>
      </w:r>
      <w:r>
        <w:rPr>
          <w:rFonts w:ascii="Calibri" w:cs="Calibri" w:eastAsia="Calibri" w:hAnsi="Calibri"/>
          <w:b/>
          <w:bCs/>
          <w:color w:val="3F7A16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Lead with the forecasting wedge (revenue today); grow into firmness as market design matures. Timing, not dependency.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B26A00"/>
          <w:sz w:val="21"/>
          <w:szCs w:val="21"/>
        </w:rPr>
        <w:t xml:space="preserve">Risk: 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Investor confidence dented by retroactive tariff changes.  </w:t>
      </w:r>
      <w:r>
        <w:rPr>
          <w:rFonts w:ascii="Calibri" w:cs="Calibri" w:eastAsia="Calibri" w:hAnsi="Calibri"/>
          <w:b/>
          <w:bCs/>
          <w:color w:val="3F7A16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The model is capital-light and buyer-funded (data centres pre-contract), so it is less exposed to generation-side tariff risk than an asset developer.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B26A00"/>
          <w:sz w:val="21"/>
          <w:szCs w:val="21"/>
        </w:rPr>
        <w:t xml:space="preserve">Risk: 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EVN single-buyer legacy can slow deals.  </w:t>
      </w:r>
      <w:r>
        <w:rPr>
          <w:rFonts w:ascii="Calibri" w:cs="Calibri" w:eastAsia="Calibri" w:hAnsi="Calibri"/>
          <w:b/>
          <w:bCs/>
          <w:color w:val="3F7A16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DPPA (Decision 2161) is the legal path around it; design for private off-take first.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B26A00"/>
          <w:sz w:val="21"/>
          <w:szCs w:val="21"/>
        </w:rPr>
        <w:t xml:space="preserve">Risk: 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“Why not just wait for nuclear?”  </w:t>
      </w:r>
      <w:r>
        <w:rPr>
          <w:rFonts w:ascii="Calibri" w:cs="Calibri" w:eastAsia="Calibri" w:hAnsi="Calibri"/>
          <w:b/>
          <w:bCs/>
          <w:color w:val="3F7A16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The crunch is 2027–2030; nuclear is 2035+. Waiting means outages and missed green targets now — and the firm grid still has to be built either way.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  <w:color w:val="B26A00"/>
          <w:sz w:val="21"/>
          <w:szCs w:val="21"/>
        </w:rPr>
        <w:t xml:space="preserve">Risk: 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Solar-as-baseload overclaim.  </w:t>
      </w:r>
      <w:r>
        <w:rPr>
          <w:rFonts w:ascii="Calibri" w:cs="Calibri" w:eastAsia="Calibri" w:hAnsi="Calibri"/>
          <w:b/>
          <w:bCs/>
          <w:color w:val="3F7A16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C2733"/>
          <w:sz w:val="21"/>
          <w:szCs w:val="21"/>
        </w:rPr>
        <w:t xml:space="preserve">Be precise on stage: solar becomes a firm dispatchable block via storage + matching + market design — it does not become baseload by itself. Overclaiming invites an easy takedown.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A1F3C"/>
          <w:sz w:val="30"/>
          <w:szCs w:val="30"/>
        </w:rPr>
        <w:t xml:space="preserve">8. What to validate next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>Secure a soft-commit pilot off-taker (one data centre or exporter) willing to sign a firm-block DPPA — the single most important proof point.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>Confirm the current DPPA rules and any hourly-matching / green-certificate requirements under Decision 2161 and its implementing decrees.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>Get real or high-fidelity solar + load profiles to quantify achievable 24/7 matching and the cost of the firm block.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>Line up an asset / financing partner for the storage and generation the platform orchestrates.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>Size the premium: what will a Vietnamese data centre actually pay per MWh for verified 24/7 clean power versus grid tariff?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A1F3C"/>
          <w:sz w:val="30"/>
          <w:szCs w:val="30"/>
        </w:rPr>
        <w:t xml:space="preserve">Appendix — key data points</w:t>
      </w:r>
    </w:p>
    <w:tbl>
      <w:tblPr>
        <w:tblW w:type="dxa" w:w="9026"/>
        <w:tblBorders>
          <w:top w:val="single" w:color="C7D3E0" w:sz="4"/>
          <w:left w:val="single" w:color="C7D3E0" w:sz="4"/>
          <w:bottom w:val="single" w:color="C7D3E0" w:sz="4"/>
          <w:right w:val="single" w:color="C7D3E0" w:sz="4"/>
          <w:insideH w:val="single" w:color="DCE5EF" w:sz="4"/>
          <w:insideV w:val="single" w:color="DCE5EF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Figure</w:t>
            </w:r>
          </w:p>
        </w:tc>
        <w:tc>
          <w:tcPr>
            <w:tcW w:type="dxa" w:w="6126"/>
            <w:shd w:fill="0A1F3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~16 GW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Solar installed in Vietnam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735 → 1,330–1,543 MW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Data-centre power demand, 2025 → 2030 (+81–110%)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≥50%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Share of data-centre capacity to be green by 2030 (target)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Up to 60 kW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AI rack density in new hyperscale facilities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~270,000 homes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Equivalent draw of one 100 MW data centre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$54–82/MWh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Firm solar-plus-storage cost in prime regions (IRENA)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~$128bn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Grid investment Vietnam needs by 2030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2030–2035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Earliest window for first nuclear (Ninh Thuận 1, ~2.4 GW)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A1F3C"/>
                <w:sz w:val="19"/>
                <w:szCs w:val="19"/>
              </w:rPr>
              <w:t xml:space="preserve">Sept 2025 / Jan 2026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2733"/>
                <w:sz w:val="19"/>
                <w:szCs w:val="19"/>
              </w:rPr>
              <w:t xml:space="preserve">Decision 2161 (private-led digital infra + DPPA) / data-localisation law in force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C2733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6B80"/>
          <w:sz w:val="18"/>
          <w:szCs w:val="18"/>
        </w:rPr>
        <w:t xml:space="preserve">Sources: user-supplied deep-research report (Vietnam nuclear &amp; solar infrastructure) and challenge brief; demand-side figures cross-checked against 2025–2026 market and policy reporting (Mordor Intelligence; Hogan Lovells on Decision 2161; industry commentary; a 2025 data-centre demand forecast). Figures are planning-grade, not audited.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 Clean Power for Vietnam's Digital Economy — Strategy Memo</dc:title>
  <dc:creator>FirmGrid</dc:creator>
  <cp:lastModifiedBy>Un-named</cp:lastModifiedBy>
  <cp:revision>1</cp:revision>
  <dcterms:created xsi:type="dcterms:W3CDTF">2026-07-03T09:25:58.685Z</dcterms:created>
  <dcterms:modified xsi:type="dcterms:W3CDTF">2026-07-03T09:25:58.696Z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