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F3D2E"/>
          <w:sz w:val="44"/>
          <w:szCs w:val="44"/>
        </w:rPr>
        <w:t xml:space="preserve">SolarFlow</w:t>
      </w:r>
    </w:p>
    <w:p>
      <w:pPr>
        <w:spacing w:after="120"/>
        <w:jc w:val="center"/>
      </w:pPr>
      <w:r>
        <w:rPr>
          <w:b/>
          <w:bCs/>
          <w:i/>
          <w:iCs/>
          <w:color w:val="404040"/>
          <w:sz w:val="26"/>
          <w:szCs w:val="26"/>
        </w:rPr>
        <w:t xml:space="preserve">AI-Powered Decentralized Marketplace for Rooftop Solar Buyback</w:t>
      </w:r>
    </w:p>
    <w:p>
      <w:pPr>
        <w:pBdr>
          <w:bottom w:val="single" w:color="0F3D2E" w:sz="6" w:space="6"/>
        </w:pBdr>
        <w:spacing w:after="240"/>
        <w:jc w:val="center"/>
      </w:pPr>
      <w:r>
        <w:rPr>
          <w:color w:val="595959"/>
          <w:sz w:val="20"/>
          <w:szCs w:val="20"/>
        </w:rPr>
        <w:t xml:space="preserve">Asian Hackathon for Green Future 2026  |  Track 1: Future Energy Systems &amp; Green Mobility</w:t>
      </w:r>
    </w:p>
    <w:p>
      <w:pPr>
        <w:pStyle w:val="Heading1"/>
        <w:spacing w:after="120" w:before="240"/>
      </w:pPr>
      <w:r>
        <w:rPr>
          <w:b/>
          <w:bCs/>
          <w:color w:val="0F3D2E"/>
          <w:sz w:val="28"/>
          <w:szCs w:val="28"/>
        </w:rPr>
        <w:t xml:space="preserve">Executive Summary</w:t>
      </w:r>
    </w:p>
    <w:p>
      <w:pPr>
        <w:spacing w:after="120" w:line="300"/>
        <w:jc w:val="both"/>
      </w:pPr>
      <w:r>
        <w:rPr>
          <w:sz w:val="22"/>
          <w:szCs w:val="22"/>
        </w:rPr>
        <w:t xml:space="preserve">SolarFlow is an AI-powered decentralized marketplace that lets Vietnamese households safely and profitably sell rooftop solar surplus back to the grid. Its AI engine, GridMind, predicts transformer congestion before it happens, forecasts each household's realistic solar surplus, and optimally allocates export capacity through a fair, multi-objective auction. Blockchain smart contracts record accepted bids and automatically settle payment after smart-meter verification. SolarFlow attacks Vietnam's core energy paradox: abundant solar in the morning that nobody can use, and zero solar in the evening when everybody needs it. By turning every safely-exportable daytime kilowatt-hour into a tradable, settled, and verifiable market asset, SolarFlow unlocks trapped clean energy, rewards households fairly, and gives operators the granular control today's blunt-cut curtailment cannot offer—shifting the country's evening peak away from coal and toward solar surplus that would otherwise be wasted.</w:t>
      </w:r>
    </w:p>
    <w:p>
      <w:pPr>
        <w:pStyle w:val="Heading1"/>
        <w:spacing w:after="120" w:before="240"/>
      </w:pPr>
      <w:r>
        <w:rPr>
          <w:b/>
          <w:bCs/>
          <w:color w:val="0F3D2E"/>
          <w:sz w:val="28"/>
          <w:szCs w:val="28"/>
        </w:rPr>
        <w:t xml:space="preserve">1. The Problem: Vietnam's Curtailment Paradox</w:t>
      </w:r>
    </w:p>
    <w:p>
      <w:pPr>
        <w:spacing w:after="120" w:line="300"/>
        <w:jc w:val="both"/>
      </w:pPr>
      <w:r>
        <w:rPr>
          <w:sz w:val="22"/>
          <w:szCs w:val="22"/>
        </w:rPr>
        <w:t xml:space="preserve">Vietnam has built one of Asia's fastest-growing rooftop solar fleets—roughly 19 GW of installed capacity by the end of 2025—but the country suffers from a fundamental temporal mismatch between when solar energy is produced and when it is needed. From mid-morning onward, rooftop panels generate far more electricity than households or the local grid can consume; this surplus has nowhere to go and is simply wasted. By late morning and midday, EVN and the National Load Dispatch Center routinely curtail rooftop output—even on ordinary weekdays—because transformers cannot absorb the reverse flow. Then, just hours later, the sun sets: solar generation collapses to zero precisely when households switch on lights, air-conditioning, and cooking loads. Families that invested in panels expecting energy independence discover they cannot use a single watt of their own solar in the evening, and the country burns coal at night to meet the very demand that abundant morning sunshine could have served if only it had been captured and traded efficiently. The macro outcome is perverse: clean energy is thrown away in the morning, and dirty energy is burned at night.</w:t>
      </w:r>
    </w:p>
    <w:p>
      <w:pPr>
        <w:spacing w:after="120" w:line="300"/>
        <w:jc w:val="both"/>
      </w:pPr>
      <w:r>
        <w:rPr>
          <w:sz w:val="22"/>
          <w:szCs w:val="22"/>
        </w:rPr>
        <w:t xml:space="preserve">Three structural problems converge here:</w:t>
      </w:r>
    </w:p>
    <w:p>
      <w:pPr>
        <w:pStyle w:val="ListParagraph"/>
        <w:numPr>
          <w:ilvl w:val="0"/>
          <w:numId w:val="2"/>
        </w:numPr>
        <w:spacing w:after="80" w:line="300"/>
        <w:jc w:val="both"/>
      </w:pPr>
      <w:r>
        <w:rPr>
          <w:b/>
          <w:bCs/>
          <w:sz w:val="22"/>
          <w:szCs w:val="22"/>
        </w:rPr>
        <w:t xml:space="preserve">Curtailment is blunt. </w:t>
      </w:r>
      <w:r>
        <w:rPr>
          <w:sz w:val="22"/>
          <w:szCs w:val="22"/>
        </w:rPr>
        <w:t xml:space="preserve">EVN cuts entire feeders at once, with no visibility into which specific households should be reduced and which could safely keep exporting. The result is wasted generation and resentful prosumers.</w:t>
      </w:r>
    </w:p>
    <w:p>
      <w:pPr>
        <w:pStyle w:val="ListParagraph"/>
        <w:numPr>
          <w:ilvl w:val="0"/>
          <w:numId w:val="2"/>
        </w:numPr>
        <w:spacing w:after="80" w:line="300"/>
        <w:jc w:val="both"/>
      </w:pPr>
      <w:r>
        <w:rPr>
          <w:b/>
          <w:bCs/>
          <w:sz w:val="22"/>
          <w:szCs w:val="22"/>
        </w:rPr>
        <w:t xml:space="preserve">Households have no agency. </w:t>
      </w:r>
      <w:r>
        <w:rPr>
          <w:sz w:val="22"/>
          <w:szCs w:val="22"/>
        </w:rPr>
        <w:t>Vietnam's rooftop self-consumption regulations (Decree 58/2025/NĐ-CP, amended by Decree 243/2026/NĐ-CP effective 26 June 2026) just raised the sellable-surplus ceiling from 20% to 50% of generation — yet individual households still cannot meaningfully bid, see when their export will be accepted, or verify what they were paid for. A bigger legal ceiling with no allocation mechanism only makes the fairness and congestion problem worse.</w:t>
      </w:r>
    </w:p>
    <w:p>
      <w:pPr>
        <w:pStyle w:val="ListParagraph"/>
        <w:numPr>
          <w:ilvl w:val="0"/>
          <w:numId w:val="2"/>
        </w:numPr>
        <w:spacing w:after="80" w:line="300"/>
        <w:jc w:val="both"/>
      </w:pPr>
      <w:r>
        <w:rPr>
          <w:b/>
          <w:bCs/>
          <w:sz w:val="22"/>
          <w:szCs w:val="22"/>
        </w:rPr>
        <w:t xml:space="preserve">The intelligence layer is missing. </w:t>
      </w:r>
      <w:r>
        <w:rPr>
          <w:sz w:val="22"/>
          <w:szCs w:val="22"/>
        </w:rPr>
        <w:t xml:space="preserve">Weather data, transformer load data, solar generation data, and household consumption data sit in disconnected silos. Nothing fuses them into a forecast of "will this transformer overload at 12:30, and which households should reduce export?"</w:t>
      </w:r>
    </w:p>
    <w:p>
      <w:pPr>
        <w:spacing w:after="120" w:line="300"/>
        <w:jc w:val="both"/>
      </w:pPr>
      <w:r>
        <w:rPr>
          <w:sz w:val="22"/>
          <w:szCs w:val="22"/>
        </w:rPr>
        <w:t xml:space="preserve">The cost is enormous and doubly painful. On the supply side, gigawatt-hours of morning and midday solar are curtailed and lost forever—energy that was free, clean, and already paid for by household investment. On the demand side, the evening peak (roughly 6–10 p.m.), when families need power most, is met almost entirely by coal and gas because rooftop solar is gone for the day. Households thus pay twice: once for panels whose morning output is discarded, and again for grid electricity in the evening at full retail tariff. SolarFlow attacks exactly this morning-waste / evening-shortage gap by ensuring that every kilowatt-hour the grid can safely accept during daylight is auctioned, monetised, and delivered to consumers elsewhere on the network who need it, instead of being thrown away.</w:t>
      </w:r>
    </w:p>
    <w:p>
      <w:pPr>
        <w:pStyle w:val="Heading1"/>
        <w:spacing w:after="120" w:before="240"/>
      </w:pPr>
      <w:r>
        <w:rPr>
          <w:b/>
          <w:bCs/>
          <w:color w:val="0F3D2E"/>
          <w:sz w:val="28"/>
          <w:szCs w:val="28"/>
        </w:rPr>
        <w:t xml:space="preserve">2. The SolarFlow Solution</w:t>
      </w:r>
    </w:p>
    <w:p>
      <w:pPr>
        <w:spacing w:after="120" w:line="300"/>
        <w:jc w:val="both"/>
      </w:pPr>
      <w:r>
        <w:rPr>
          <w:sz w:val="22"/>
          <w:szCs w:val="22"/>
        </w:rPr>
        <w:t xml:space="preserve">SolarFlow operates as two coordinated layers.</w:t>
      </w:r>
    </w:p>
    <w:p>
      <w:pPr>
        <w:spacing w:after="120" w:line="300"/>
        <w:jc w:val="both"/>
      </w:pPr>
      <w:r>
        <w:rPr>
          <w:b/>
          <w:bCs/>
          <w:sz w:val="22"/>
          <w:szCs w:val="22"/>
        </w:rPr>
        <w:t xml:space="preserve">Layer 1 — GridMind AI (intelligence). </w:t>
      </w:r>
      <w:r>
        <w:rPr>
          <w:sz w:val="22"/>
          <w:szCs w:val="22"/>
        </w:rPr>
        <w:t xml:space="preserve">GridMind continuously predicts what the local grid will look like 15 minutes, 1 hour, and 24 hours ahead. It runs four coupled models. A transformer congestion forecaster predicts when each local transformer will exceed its safe reverse-flow limit, using historical load, weather, irradiance, and demand profiles. A household surplus predictor estimates how much energy each home will realistically have available to sell, preventing fake or unrealistic bids. A bid advisor recommends a price to each household—"your local transformer has medium congestion; suggested bid 1,750–1,900 VND/kWh"—so families do not need to understand electricity markets to participate. An auction optimizer selects winning bids by jointly maximizing price competitiveness, household reliability, fairness across past rejections, grid safety, and renewable utilization, subject to the hard constraint that total accepted export never exceeds the transformer's predicted safe capacity.</w:t>
      </w:r>
    </w:p>
    <w:p>
      <w:pPr>
        <w:spacing w:after="120" w:line="300"/>
        <w:jc w:val="both"/>
      </w:pPr>
      <w:r>
        <w:rPr>
          <w:b/>
          <w:bCs/>
          <w:sz w:val="22"/>
          <w:szCs w:val="22"/>
        </w:rPr>
        <w:t xml:space="preserve">Layer 2 — Blockchain settlement (trust). </w:t>
      </w:r>
      <w:r>
        <w:rPr>
          <w:sz w:val="22"/>
          <w:szCs w:val="22"/>
        </w:rPr>
        <w:t xml:space="preserve">Accepted bids are committed to a smart contract. After each export window, smart-meter data verifies actual delivery, and payment is automatically released in VND-pegged tokens or direct bank transfer. The ledger is auditable by operators, regulators, and households alike.</w:t>
      </w:r>
    </w:p>
    <w:p>
      <w:pPr>
        <w:spacing w:after="120" w:line="300"/>
        <w:jc w:val="both"/>
      </w:pPr>
      <w:r>
        <w:rPr>
          <w:sz w:val="22"/>
          <w:szCs w:val="22"/>
        </w:rPr>
        <w:t xml:space="preserve">The split is principled: AI handles prediction, optimization, and anomaly detection; blockchain handles trust, transparency, and irreversible settlement. Each technology does what it is genuinely good at, instead of the superficial AI-plus-blockchain pairing common in lesser entries.</w:t>
      </w:r>
    </w:p>
    <w:p>
      <w:pPr>
        <w:pStyle w:val="Heading1"/>
        <w:spacing w:after="120" w:before="240"/>
      </w:pPr>
      <w:r>
        <w:rPr>
          <w:b/>
          <w:bCs/>
          <w:color w:val="0F3D2E"/>
          <w:sz w:val="28"/>
          <w:szCs w:val="28"/>
        </w:rPr>
        <w:t xml:space="preserve">3. Technical Architecture</w:t>
      </w:r>
    </w:p>
    <w:p>
      <w:pPr>
        <w:spacing w:after="120" w:line="300"/>
        <w:jc w:val="both"/>
      </w:pPr>
      <w:r>
        <w:rPr>
          <w:sz w:val="22"/>
          <w:szCs w:val="22"/>
        </w:rPr>
        <w:t xml:space="preserve">The end-to-end pipeline flows from smart meters into the GridMind layer, through the auction optimizer, into the blockchain settlement contract, and out to household and operator interfaces. For the hackathon prototype, GridMind's forecasting models are implemented as gradient-boosted regressors (XGBoost) for congestion classification and short-window LSTM networks for solar surplus, trained on twelve months of synthetic Vietnamese distribution-network data calibrated against publicly available EVN and Open-Meteo sources. The auction optimizer is a constrained mixed-integer linear program that scores each bid on price, reliability, fairness, grid-safety, and surplus-confidence dimensions, then selects the optimal subset under the transformer-capacity constraint.</w:t>
      </w:r>
    </w:p>
    <w:p>
      <w:pPr>
        <w:spacing w:after="120" w:line="300"/>
        <w:jc w:val="both"/>
      </w:pPr>
      <w:r>
        <w:rPr>
          <w:sz w:val="22"/>
          <w:szCs w:val="22"/>
        </w:rPr>
        <w:t xml:space="preserve">The blockchain layer is implemented on a permissioned Hyperledger Fabric network for operator-friendly deployment, with a public-chain demonstration on Polygon testnet for transparency-focused judging. The mobile front-end is built in React Native with Vietnamese-language UX optimized for non-technical households; the operator dashboard is built in Next.js with a Mapbox visualization of transformer congestion in real time. An AI fraud-detection module flags suspicious bids—for example, a household claiming 8 kWh of surplus when its predicted maximum is 3.2 kWh—and an optional digital-twin module lets operators simulate alternative dispatch decisions before committing them.</w:t>
      </w:r>
    </w:p>
    <w:p>
      <w:pPr>
        <w:pStyle w:val="Heading1"/>
        <w:spacing w:after="120" w:before="240"/>
      </w:pPr>
      <w:r>
        <w:rPr>
          <w:b/>
          <w:bCs/>
          <w:color w:val="0F3D2E"/>
          <w:sz w:val="28"/>
          <w:szCs w:val="28"/>
        </w:rPr>
        <w:t xml:space="preserve">4. Innovation and Differentiation</w:t>
      </w:r>
    </w:p>
    <w:p>
      <w:pPr>
        <w:spacing w:after="120" w:line="300"/>
        <w:jc w:val="both"/>
      </w:pPr>
      <w:r>
        <w:rPr>
          <w:sz w:val="22"/>
          <w:szCs w:val="22"/>
        </w:rPr>
        <w:t xml:space="preserve">Three properties together make SolarFlow distinctive among prosumer-energy platforms:</w:t>
      </w:r>
    </w:p>
    <w:p>
      <w:pPr>
        <w:pStyle w:val="ListParagraph"/>
        <w:numPr>
          <w:ilvl w:val="0"/>
          <w:numId w:val="3"/>
        </w:numPr>
        <w:spacing w:after="80" w:line="300"/>
        <w:jc w:val="both"/>
      </w:pPr>
      <w:r>
        <w:rPr>
          <w:b/>
          <w:bCs/>
          <w:sz w:val="22"/>
          <w:szCs w:val="22"/>
        </w:rPr>
        <w:t xml:space="preserve">Predictive curtailment, not reactive. </w:t>
      </w:r>
      <w:r>
        <w:rPr>
          <w:sz w:val="22"/>
          <w:szCs w:val="22"/>
        </w:rPr>
        <w:t xml:space="preserve">EVN today reacts after a transformer is already congested. GridMind acts 15–60 minutes ahead, reducing only the minimum needed instead of cutting whole neighborhoods.</w:t>
      </w:r>
    </w:p>
    <w:p>
      <w:pPr>
        <w:pStyle w:val="ListParagraph"/>
        <w:numPr>
          <w:ilvl w:val="0"/>
          <w:numId w:val="3"/>
        </w:numPr>
        <w:spacing w:after="80" w:line="300"/>
        <w:jc w:val="both"/>
      </w:pPr>
      <w:r>
        <w:rPr>
          <w:b/>
          <w:bCs/>
          <w:sz w:val="22"/>
          <w:szCs w:val="22"/>
        </w:rPr>
        <w:t xml:space="preserve">Fair, transparent prosumer markets. </w:t>
      </w:r>
      <w:r>
        <w:rPr>
          <w:sz w:val="22"/>
          <w:szCs w:val="22"/>
        </w:rPr>
        <w:t xml:space="preserve">Most rooftop buyback schemes are passive—households receive a flat tariff. SolarFlow turns the prosumer into an active market participant who bids, is accepted on merit, and is paid based on verifiable delivery.</w:t>
      </w:r>
    </w:p>
    <w:p>
      <w:pPr>
        <w:pStyle w:val="ListParagraph"/>
        <w:numPr>
          <w:ilvl w:val="0"/>
          <w:numId w:val="3"/>
        </w:numPr>
        <w:spacing w:after="80" w:line="300"/>
        <w:jc w:val="both"/>
      </w:pPr>
      <w:r>
        <w:rPr>
          <w:b/>
          <w:bCs/>
          <w:sz w:val="22"/>
          <w:szCs w:val="22"/>
        </w:rPr>
        <w:t xml:space="preserve">Principled AI-blockchain composition. </w:t>
      </w:r>
      <w:r>
        <w:rPr>
          <w:sz w:val="22"/>
          <w:szCs w:val="22"/>
        </w:rPr>
        <w:t xml:space="preserve">AI decides what should happen; blockchain proves what did. This division of labor is the architectural insight that lets SolarFlow scale beyond a single distribution feeder.</w:t>
      </w:r>
    </w:p>
    <w:p>
      <w:r>
        <w:t>Prior art exists, but not this layer. Powerledger's blockchain-based peer-to-peer trading pilot with EVN CPC — Vietnam's first P2P energy project — proves prosumer demand but only tracks and settles trades after the fact; it has no predictive transformer-congestion model and cannot guarantee grid safety. Singapore's Electrify Synergy shows P2P trading works in a deregulated market, but Vietnam's EVN-monopoly, capacity-constrained grid needs allocation gated on real-time safety headroom, not just a trading rail. SolarFlow is the first system in the region to combine 15–60-minute-ahead congestion forecasting with a fairness-constrained auction — the layer none of these prior efforts provide.</w:t>
      </w:r>
    </w:p>
    <w:p>
      <w:pPr>
        <w:pStyle w:val="Heading1"/>
        <w:spacing w:after="120" w:before="240"/>
      </w:pPr>
      <w:r>
        <w:rPr>
          <w:b/>
          <w:bCs/>
          <w:color w:val="0F3D2E"/>
          <w:sz w:val="28"/>
          <w:szCs w:val="28"/>
        </w:rPr>
        <w:t xml:space="preserve">5. Feasibility and Implementation Plan</w:t>
      </w:r>
    </w:p>
    <w:p>
      <w:pPr>
        <w:spacing w:after="120" w:line="300"/>
        <w:jc w:val="both"/>
      </w:pPr>
      <w:r>
        <w:rPr>
          <w:b/>
          <w:bCs/>
          <w:sz w:val="22"/>
          <w:szCs w:val="22"/>
        </w:rPr>
        <w:t xml:space="preserve">Online Training Round (2–28 June). </w:t>
      </w:r>
      <w:r>
        <w:rPr>
          <w:sz w:val="22"/>
          <w:szCs w:val="22"/>
        </w:rPr>
        <w:t xml:space="preserve">The team will build the GridMind forecasting pipeline, train the congestion and surplus models on twelve months of synthetic Vietnamese distribution data, implement the auction optimizer as a MILP with verifiable optimality guarantees, and deploy a basic settlement smart contract on the Polygon Mumbai testnet. Target accuracy: 90 percent classification F1 on transformer overload events, and mean absolute error below 0.4 kWh on hourly household surplus forecasts.</w:t>
      </w:r>
    </w:p>
    <w:p>
      <w:pPr>
        <w:spacing w:after="120" w:line="300"/>
        <w:jc w:val="both"/>
      </w:pPr>
      <w:r>
        <w:rPr>
          <w:b/>
          <w:bCs/>
          <w:sz w:val="22"/>
          <w:szCs w:val="22"/>
        </w:rPr>
        <w:t xml:space="preserve">Final Round Hackathon (2–5 July). </w:t>
      </w:r>
      <w:r>
        <w:rPr>
          <w:sz w:val="22"/>
          <w:szCs w:val="22"/>
        </w:rPr>
        <w:t xml:space="preserve">The team will demonstrate a working end-to-end simulation of a Hanoi suburb with 50 households and one 22-kV transformer. The demo will show, in real time: GridMind predicting a midday congestion event; the auction selecting an optimal subset of households; blockchain settlement after meter verification; and a comparison dashboard quantifying how much clean energy SolarFlow saved from curtailment versus the current EVN baseline. A second scenario will demonstrate fraud detection by injecting a suspicious bid mid-auction.</w:t>
      </w:r>
    </w:p>
    <w:p>
      <w:pPr>
        <w:spacing w:after="120" w:line="300"/>
        <w:jc w:val="both"/>
      </w:pPr>
      <w:r>
        <w:rPr>
          <w:sz w:val="22"/>
          <w:szCs w:val="22"/>
        </w:rPr>
        <w:t xml:space="preserve">The stack is entirely open-source. No bespoke hardware is required for the demonstration; a future field deployment integrates with the smart-meter rollouts already underway in major Vietnamese urban grids.</w:t>
      </w:r>
    </w:p>
    <w:p>
      <w:pPr>
        <w:pStyle w:val="Heading1"/>
        <w:spacing w:after="120" w:before="240"/>
      </w:pPr>
      <w:r>
        <w:rPr>
          <w:b/>
          <w:bCs/>
          <w:color w:val="0F3D2E"/>
          <w:sz w:val="28"/>
          <w:szCs w:val="28"/>
        </w:rPr>
        <w:t xml:space="preserve">6. Social Impact and Scalability</w:t>
      </w:r>
    </w:p>
    <w:p>
      <w:pPr>
        <w:pStyle w:val="ListParagraph"/>
        <w:numPr>
          <w:ilvl w:val="0"/>
          <w:numId w:val="2"/>
        </w:numPr>
        <w:spacing w:after="80" w:line="300"/>
        <w:jc w:val="both"/>
      </w:pPr>
      <w:r>
        <w:rPr>
          <w:b/>
          <w:bCs/>
          <w:sz w:val="22"/>
          <w:szCs w:val="22"/>
        </w:rPr>
        <w:t xml:space="preserve">Direct impact. </w:t>
      </w:r>
      <w:r>
        <w:rPr>
          <w:sz w:val="22"/>
          <w:szCs w:val="22"/>
        </w:rPr>
        <w:t>A conservative 30 percent reduction in midday rooftop curtailment, applied to Vietnam's ~19 GW solar fleet, would recover roughly 2 TWh of clean energy per year. Using Vietnam's official 2024 national grid emission factor of 0.681 tCO₂/MWh (EVN/Ministry of Industry and Trade, up 3.2% year-on-year on rising coal dispatch), that is equivalent to displacing approximately 1.36 million tonnes of CO₂ per year.</w:t>
      </w:r>
    </w:p>
    <w:p>
      <w:pPr>
        <w:pStyle w:val="ListParagraph"/>
        <w:numPr>
          <w:ilvl w:val="0"/>
          <w:numId w:val="2"/>
        </w:numPr>
        <w:spacing w:after="80" w:line="300"/>
        <w:jc w:val="both"/>
      </w:pPr>
      <w:r>
        <w:rPr>
          <w:b/>
          <w:bCs/>
          <w:sz w:val="22"/>
          <w:szCs w:val="22"/>
        </w:rPr>
        <w:t xml:space="preserve">Household economics. </w:t>
      </w:r>
      <w:r>
        <w:rPr>
          <w:sz w:val="22"/>
          <w:szCs w:val="22"/>
        </w:rPr>
        <w:t>A 5 kW rooftop owner earning even 1,500 VND/kWh on previously curtailed energy would gain an estimated 1.2–2.5 million VND per year, a meaningful figure for Vietnamese middle-class families. The June 2026 cap increase to 50% raises the theoretical ceiling further — but only a real-time, grid-safety-aware allocation layer like SolarFlow can convert that expanded legal headroom into actual, transformer-safe income rather than a number on paper.</w:t>
      </w:r>
    </w:p>
    <w:p>
      <w:pPr>
        <w:pStyle w:val="ListParagraph"/>
        <w:numPr>
          <w:ilvl w:val="0"/>
          <w:numId w:val="2"/>
        </w:numPr>
        <w:spacing w:after="80" w:line="300"/>
        <w:jc w:val="both"/>
      </w:pPr>
      <w:r>
        <w:rPr>
          <w:b/>
          <w:bCs/>
          <w:sz w:val="22"/>
          <w:szCs w:val="22"/>
        </w:rPr>
        <w:t xml:space="preserve">Grid resilience. </w:t>
      </w:r>
      <w:r>
        <w:rPr>
          <w:sz w:val="22"/>
          <w:szCs w:val="22"/>
        </w:rPr>
        <w:t>Predictive congestion management reduces transformer stress, deferring tens of millions of dollars of EVN's planned grid-upgrade spending by allocating existing capacity more intelligently rather than building more. Vietnam's revised Power Development Plan VIII already targets 10–16 GW of battery storage by 2030 (rising toward ~96 GW by 2050) to solve the same congestion problem with capital-intensive hardware; SolarFlow is the software-first complement that captures value years before that storage is built.</w:t>
      </w:r>
    </w:p>
    <w:p>
      <w:pPr>
        <w:pStyle w:val="ListParagraph"/>
        <w:numPr>
          <w:ilvl w:val="0"/>
          <w:numId w:val="2"/>
        </w:numPr>
        <w:spacing w:after="80" w:line="300"/>
        <w:jc w:val="both"/>
      </w:pPr>
      <w:r>
        <w:rPr>
          <w:b/>
          <w:bCs/>
          <w:sz w:val="22"/>
          <w:szCs w:val="22"/>
        </w:rPr>
        <w:t xml:space="preserve">Pan-Asian scalability. </w:t>
      </w:r>
      <w:r>
        <w:rPr>
          <w:sz w:val="22"/>
          <w:szCs w:val="22"/>
        </w:rPr>
        <w:t xml:space="preserve">Every Southeast Asian country deploying distributed solar—Thailand, Indonesia, the Philippines—will hit the same curtailment wall within five years. SolarFlow is architected to generalize across grid codes, currencies, and tariff structures, with localization rather than re-architecture as the path to new markets.</w:t>
      </w:r>
    </w:p>
    <w:p>
      <w:pPr>
        <w:pStyle w:val="Heading1"/>
        <w:spacing w:after="120" w:before="240"/>
      </w:pPr>
      <w:r>
        <w:rPr>
          <w:b/>
          <w:bCs/>
          <w:color w:val="0F3D2E"/>
          <w:sz w:val="28"/>
          <w:szCs w:val="28"/>
        </w:rPr>
        <w:t xml:space="preserve">7. Team and Resources</w:t>
      </w:r>
    </w:p>
    <w:p>
      <w:pPr>
        <w:spacing w:after="120" w:line="300"/>
        <w:jc w:val="both"/>
      </w:pPr>
      <w:r>
        <w:rPr>
          <w:sz w:val="22"/>
          <w:szCs w:val="22"/>
        </w:rPr>
        <w:t xml:space="preserve">Our interdisciplinary team brings the four competencies SolarFlow requires: machine learning engineering (time-series forecasting and constrained optimization), power systems modeling, blockchain and smart-contract development, and mobile UX for low-technical-literacy users. Mentorship from VinUniversity's College of Engineering and Computer Science will support technical depth and domain validation. All code will be released under an Apache 2.0 license at the project's conclusion.</w:t>
      </w:r>
    </w:p>
    <w:p>
      <w:pPr>
        <w:pStyle w:val="Heading1"/>
        <w:spacing w:after="120" w:before="240"/>
      </w:pPr>
      <w:r>
        <w:rPr>
          <w:b/>
          <w:bCs/>
          <w:color w:val="0F3D2E"/>
          <w:sz w:val="28"/>
          <w:szCs w:val="28"/>
        </w:rPr>
        <w:t xml:space="preserve">8. Conclusion</w:t>
      </w:r>
    </w:p>
    <w:p>
      <w:pPr>
        <w:spacing w:after="120" w:line="300"/>
        <w:jc w:val="both"/>
      </w:pPr>
      <w:r>
        <w:rPr>
          <w:sz w:val="22"/>
          <w:szCs w:val="22"/>
        </w:rPr>
        <w:t xml:space="preserve">Vietnam built a rooftop solar fleet faster than its grid could absorb. Curtailment is now the rate-limiting step on the country's clean-energy ambitions, and the cost of inaction—gigawatt-hours discarded, prosumers disillusioned, coal kept burning at night—compounds every quarter. SolarFlow turns that bottleneck into a market: AI predicts what the grid can safely accept, an auction allocates that capacity fairly, and blockchain settles the bill transparently. The country has the data, the panels, and the regulatory opening. What it needs is the intelligence layer that connects them. We are excited to build it at VinUniversity this July.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3D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SolarFlow — Project Proposal</dc:title>
  <dc:creator>Team SolarFlow</dc:creator>
  <dc:description>Asian Hackathon for Green Future 2026 — Track 1 proposal</dc:description>
  <cp:lastModifiedBy>Un-named</cp:lastModifiedBy>
  <cp:revision>1</cp:revision>
  <dcterms:created xsi:type="dcterms:W3CDTF">2026-05-12T16:37:35.514Z</dcterms:created>
  <dcterms:modified xsi:type="dcterms:W3CDTF">2026-05-12T16:37:35.515Z</dcterms:modified>
</cp:coreProperties>
</file>

<file path=docProps/custom.xml><?xml version="1.0" encoding="utf-8"?>
<Properties xmlns="http://schemas.openxmlformats.org/officeDocument/2006/custom-properties" xmlns:vt="http://schemas.openxmlformats.org/officeDocument/2006/docPropsVTypes"/>
</file>