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Yêu cầu chức năng và phi chức năng - Ứng dụng Internet Banking</w:t>
      </w:r>
    </w:p>
    <w:p>
      <w:r>
        <w:t>Phần mềm được chọn: Ứng dụng Internet Banking (Ngân hàng trực tuyến)</w:t>
      </w:r>
    </w:p>
    <w:p>
      <w:r>
        <w:t>Mục tiêu: Hỗ trợ người dùng thực hiện các giao dịch tài chính nhanh chóng, an toàn và tiện lợi thông qua thiết bị di động hoặc web.</w:t>
      </w:r>
    </w:p>
    <w:p>
      <w:pPr>
        <w:pStyle w:val="Heading2"/>
      </w:pPr>
      <w:r>
        <w:t>1. Yêu cầu chức năng (Functional Requirements)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STT</w:t>
            </w:r>
          </w:p>
        </w:tc>
        <w:tc>
          <w:tcPr>
            <w:tcW w:type="dxa" w:w="2880"/>
          </w:tcPr>
          <w:p>
            <w:r>
              <w:t>Yêu cầu chức năng</w:t>
            </w:r>
          </w:p>
        </w:tc>
        <w:tc>
          <w:tcPr>
            <w:tcW w:type="dxa" w:w="2880"/>
          </w:tcPr>
          <w:p>
            <w:r>
              <w:t>Mô tả chi tiết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Đăng nhập và xác thực người dùng</w:t>
            </w:r>
          </w:p>
        </w:tc>
        <w:tc>
          <w:tcPr>
            <w:tcW w:type="dxa" w:w="2880"/>
          </w:tcPr>
          <w:p>
            <w:r>
              <w:t>Hệ thống cho phép người dùng đăng nhập bằng số điện thoại, mật khẩu và mã OTP gửi qua SMS hoặc ứng dụng xác thực.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Chuyển tiền nội bộ và liên ngân hàng</w:t>
            </w:r>
          </w:p>
        </w:tc>
        <w:tc>
          <w:tcPr>
            <w:tcW w:type="dxa" w:w="2880"/>
          </w:tcPr>
          <w:p>
            <w:r>
              <w:t>Người dùng có thể chuyển tiền cho tài khoản cùng ngân hàng hoặc khác ngân hàng, nhập nội dung và lưu danh bạ người nhận.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Xem lịch sử giao dịch</w:t>
            </w:r>
          </w:p>
        </w:tc>
        <w:tc>
          <w:tcPr>
            <w:tcW w:type="dxa" w:w="2880"/>
          </w:tcPr>
          <w:p>
            <w:r>
              <w:t>Hệ thống hiển thị danh sách giao dịch (ngày, số tiền, nội dung, người nhận/gửi), có thể lọc theo thời gian hoặc loại giao dịch.</w:t>
            </w:r>
          </w:p>
        </w:tc>
      </w:tr>
    </w:tbl>
    <w:p>
      <w:pPr>
        <w:pStyle w:val="Heading2"/>
      </w:pPr>
      <w:r>
        <w:t>2. Yêu cầu phi chức năng (Non-Functional Requirements)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STT</w:t>
            </w:r>
          </w:p>
        </w:tc>
        <w:tc>
          <w:tcPr>
            <w:tcW w:type="dxa" w:w="2880"/>
          </w:tcPr>
          <w:p>
            <w:r>
              <w:t>Yêu cầu phi chức năng</w:t>
            </w:r>
          </w:p>
        </w:tc>
        <w:tc>
          <w:tcPr>
            <w:tcW w:type="dxa" w:w="2880"/>
          </w:tcPr>
          <w:p>
            <w:r>
              <w:t>Mô tả chi tiết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Bảo mật cao</w:t>
            </w:r>
          </w:p>
        </w:tc>
        <w:tc>
          <w:tcPr>
            <w:tcW w:type="dxa" w:w="2880"/>
          </w:tcPr>
          <w:p>
            <w:r>
              <w:t>Mọi giao dịch đều phải được mã hóa (SSL/TLS), xác thực hai lớp (2FA), và tự động đăng xuất sau 5 phút không hoạt động.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Tốc độ xử lý nhanh</w:t>
            </w:r>
          </w:p>
        </w:tc>
        <w:tc>
          <w:tcPr>
            <w:tcW w:type="dxa" w:w="2880"/>
          </w:tcPr>
          <w:p>
            <w:r>
              <w:t>Giao dịch chuyển tiền, tra cứu số dư hoặc lịch sử giao dịch phải phản hồi trong vòng ≤ 3 giây.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Tương thích đa nền tảng</w:t>
            </w:r>
          </w:p>
        </w:tc>
        <w:tc>
          <w:tcPr>
            <w:tcW w:type="dxa" w:w="2880"/>
          </w:tcPr>
          <w:p>
            <w:r>
              <w:t>Ứng dụng phải hoạt động ổn định trên Android, iOS và web, giao diện hiển thị tốt trên mọi kích thước màn hình.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