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豫见行迹项目验收与改进意见</w:t>
      </w:r>
    </w:p>
    <w:p>
      <w:pPr>
        <w:pStyle w:val="Subtitle"/>
      </w:pPr>
      <w:r>
        <w:t>对象  项目负责人及参赛团队    日期  2026年10月3日</w:t>
      </w:r>
    </w:p>
    <w:p>
      <w:r>
        <w:t>v11已公开部署，具备真实模型识别、候选确认、人工修改、交通核算与未知项检查的演示链路。旧版审查指出的关键逻辑问题已有修复和回归证据；本轮新增的12项边界检查也已通过。当前可作为工程原型展示，正式用户效果、真实账号持久化和长期稳定性仍需补证，尚不能称为全部验收完成。</w:t>
      </w:r>
    </w:p>
    <w:p>
      <w:pPr>
        <w:pStyle w:val="Heading2"/>
      </w:pPr>
      <w:r>
        <w:t>版本和检查范围</w:t>
      </w:r>
    </w:p>
    <w:p>
      <w:r>
        <w:t>源码提交 a4a3bb19d1506114d7b5672586c9300ae8b6d8ab。v11于2026年10月3日14:54:03 UTC发布；此前成功模型与交通案例来自同日v10，之后另有v11实际回退案例。不同版本、任务和证据层分别记录，不将静态截图、本地模拟或单次接口成功替代完整的生产验收。</w:t>
      </w:r>
    </w:p>
    <w:p>
      <w:r>
        <w:t>在线地址：https://roam-map-planner.dangqihan7.chatgpt.site/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960"/>
        <w:gridCol w:w="367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证据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本轮观察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可以支持的结论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本地工程检查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构建、结构验证、7组既有脚本、66项回归、14项模拟限额和12项新边界均通过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指定代码与夹具下行为符合断言；不代表真实服务长期稳定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真实模型成功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v10需求识别与候选均显示星火X2.5来源；明确载入后5站变4站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已操作的模型成功路径和确认替换机制成立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真实模型回退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v11需求识别成功；规划约25秒后提示连接失败或超时，给出规则候选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真实失败时保留可用流程；不能保证模型每次成功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真实交通与修改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406分钟超过360分钟上限46分钟；120→90分钟后撤销恢复；固定第2天时拒绝缩为1天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关键结果可在界面观察，未知信息仍需继续处理</w:t>
            </w:r>
          </w:p>
        </w:tc>
      </w:tr>
    </w:tbl>
    <w:p/>
    <w:p>
      <w:pPr>
        <w:pStyle w:val="Heading2"/>
      </w:pPr>
      <w:r>
        <w:t>验收判断</w:t>
      </w:r>
    </w:p>
    <w:p>
      <w:r>
        <w:t>保留公开演示和规则回退，继续补齐账号、用户任务与费用证据。没有正式参与人数、效率提升、营收或合作数据；团队信息和报名状态仍须负责人确认。此报告记录完成与未完成事项，不预测竞赛得分或获奖结果。</w:t>
      </w:r>
    </w:p>
    <w:p>
      <w:r>
        <w:br w:type="page"/>
      </w:r>
    </w:p>
    <w:p>
      <w:pPr>
        <w:pStyle w:val="Heading1"/>
      </w:pPr>
      <w:r>
        <w:t>已修复事项与证据边界</w:t>
      </w:r>
    </w:p>
    <w:p>
      <w:r>
        <w:t>早期报告基于10月2日源码快照与10月3日早期界面。其“模型未联调”和若干错误结论已经过时，下表替代旧报告作为当前状态；历史反例仍保留在测试记录中，便于复现修复过程。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96"/>
        <w:gridCol w:w="2520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当前处理与结果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核验方式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否定需求误入必选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区分必去、排除地点和排除交通；不去龙门不会成为必去，不坐公交与自驾不再混淆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本地66项回归；并列否定另有12项边界记录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固定日期被静默移动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固定白马寺第2天后缩为1天被拒绝，草稿与天数保留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本地原子性检查；网页选择器保持2天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完整数字被截断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12天、1.5天保留待确认；预算1,200、1万、2千按完整数值处理；超精度费用不静默截断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本地新增边界检查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跨日交通被遗漏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相邻两天需要异地衔接时显示待核实，不能据单日交通宣称全程核算完毕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本地新增边界检查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小数费用比较误差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以金额分值处理，0.1+0.2不误判超过0.3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本地新增边界检查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模型异常无可用候选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来源、原因与规则回退明确；候选仍需确认载入，失败不直接覆盖草稿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模拟超时、429、非法结构等；v11真实回退观察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撤销和部分接受表述过宽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改为当前页面最多20步撤销；整体应用后逐站修改或单日重排；无服务器历史版本列表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源码复核与材料修订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部署说明难以复现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补Node24本地服务、SQLite迁移、DB绑定、测试身份夹具和保存冲突检查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源码README及部署文档核对</w:t>
            </w:r>
          </w:p>
        </w:tc>
      </w:tr>
    </w:tbl>
    <w:p/>
    <w:p>
      <w:pPr>
        <w:pStyle w:val="Heading2"/>
      </w:pPr>
      <w:r>
        <w:t>仍须分别验证</w:t>
      </w:r>
    </w:p>
    <w:p>
      <w:r>
        <w:t>额度测试执行实际迁移，但模型调用为模拟；并发检查只证明本地SQL门槛行为。真实账号网关、D1隔离、多设备冲突和生产分布式负载未完成端到端验证。模型真实回退只能证明本次失效时的行为，不能证明所有错误都已在线触发。</w:t>
      </w:r>
    </w:p>
    <w:p>
      <w:r>
        <w:t>原始记录：源码competition-evidence目录中的final-test-runs.json、regression-results.json、public-quota-results.json、edge-case-results.json；v10-edge-before.json保留新增边界修复前结果；live-checks与clean-rebuild记录网页复核及干净解压构建。</w:t>
      </w:r>
    </w:p>
    <w:p>
      <w:r>
        <w:br w:type="page"/>
      </w:r>
    </w:p>
    <w:p>
      <w:pPr>
        <w:pStyle w:val="Heading1"/>
      </w:pPr>
      <w:r>
        <w:t>交付材料核对</w:t>
      </w:r>
    </w:p>
    <w:p>
      <w:r>
        <w:t>核对以实际文件和渲染为依据。PPT、策划书、视频与源码应使用同一套能力口径；历史截图可以保留，但必须写明采集日期与版本，不能用新版标题掩盖旧状态。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608"/>
        <w:gridCol w:w="2952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已核对内容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交付前保留事项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项目策划书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27页；五章十二节；正文汉字11852；加入真实模型、交通冲突、修改撤销、成本用量与报名节点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团队信息待填；用户研究与现金价格仍无实证结果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项目测试说明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7页，逐页渲染；区分本地、模拟、历史接口、v10成功与v11回退案例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真实账号与多设备测试未完成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项目部署说明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8页，逐页渲染；补Node24、迁移、DB绑定、限额、回退与回滚步骤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可选Drizzle安装、本地浏览器及真实账号网关待复核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项目介绍PPT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20页，重新导入渲染并逐页检查；7个原生表格、13个连接线；约5.2MB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文字与图表可编辑，真实网页截图仍为图片；现场设备需复核字体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项目视频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已编码137.7秒；1920×1080、30fps、H.264/yuv420p；约4.1MB，无音轨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完整解码通过，16帧检查；约110秒真实操作分A/B两章呈现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源码与材料包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50个受跟踪文件与10份证据JSON；干净解压构建哈希一致，12项边界再通过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常见密钥模式扫描为0；排除环境、Git与本地数据；总包核对清单</w:t>
            </w:r>
          </w:p>
        </w:tc>
      </w:tr>
    </w:tbl>
    <w:p/>
    <w:p>
      <w:pPr>
        <w:pStyle w:val="Heading2"/>
      </w:pPr>
      <w:r>
        <w:t>已经改善的材料问题</w:t>
      </w:r>
    </w:p>
    <w:p>
      <w:r>
        <w:t>策划书目录已补实际页码；成本段落改为48、80、120次模型尝试的明确用量假设与可替换单价公式；旧版“接受一部分建议”“恢复之前版本”等表述已收窄；照片来源改指实际存在的README。模型成功、真实回退和模拟测试分别写明。</w:t>
      </w:r>
    </w:p>
    <w:p>
      <w:r>
        <w:t>旧版视频为静态步骤剪辑，交通与定位镜头顺序不连贯；新版使用连续操作与真实回退过程。v10成功候选中博物馆到龙门的76分钟公交，不能套用于v11回退后龙门到博物馆的另一条候选；反向路线应重新查询。</w:t>
      </w:r>
    </w:p>
    <w:p>
      <w:pPr>
        <w:pStyle w:val="Heading2"/>
      </w:pPr>
      <w:r>
        <w:t>照片与截图</w:t>
      </w:r>
    </w:p>
    <w:p>
      <w:r>
        <w:t>封面概念视觉明确标注为生成插画，实景照片保留作者与许可。网页截图可作忠实局部裁切以提高可读性，不改变界面文本或伪造完成状态；交通截图保留必要地图署名。</w:t>
      </w:r>
    </w:p>
    <w:p>
      <w:r>
        <w:br w:type="page"/>
      </w:r>
    </w:p>
    <w:p>
      <w:pPr>
        <w:pStyle w:val="Heading1"/>
      </w:pPr>
      <w:r>
        <w:t>未完事项和提交顺序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520"/>
        <w:gridCol w:w="5544"/>
      </w:tblGrid>
      <w:tr>
        <w:trPr>
          <w:cantSplit/>
          <w:tblHeader/>
        </w:trPr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173C4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/>
                <w:color w:val="FFFFFF"/>
                <w:sz w:val="20"/>
              </w:rPr>
              <w:t>完成标准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提交前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确认报名、成员与赛道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负责人核对已报名；填写团队、成员分工、指导教师与联系方式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提交前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人工核对附件2原文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官方附件下载需验证码，本轮未下载；逐节确认格式与简介要求，不把旧材料结构当官方逐项验证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上线验证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真实账号持久化与隔离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授权账号A/B不互见；刷新恢复最新草稿；保存失败保留输入；多设备冲突拒绝过时覆盖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效果证据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12至20名自愿任务试点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统一任务与交叉顺序；记录独立完成、协助和失败；报告样本及用时分布，不编造效率提升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效果证据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具名替代产品同任务对照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记录产品、版本、设备、输入及行为；不凭工具类别推断竞品缺失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运营准备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模型与地图真实成本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核对账户计费日期和单价，保存实际usage与账单；120/10次限额不能当作金额硬上限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最终交付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版本及播放复核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FF4F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 w:before="0" w:line="264" w:lineRule="auto"/>
            </w:pPr>
            <w:r>
              <w:rPr>
                <w:b w:val="0"/>
                <w:color w:val="000000"/>
                <w:sz w:val="20"/>
              </w:rPr>
              <w:t>打开最终PPT、DOCX、MP4，检查字体与网络；离线备份明确无地图、模型与认证保存</w:t>
            </w:r>
          </w:p>
        </w:tc>
      </w:tr>
    </w:tbl>
    <w:p/>
    <w:p>
      <w:pPr>
        <w:pStyle w:val="Heading2"/>
      </w:pPr>
      <w:r>
        <w:t>已核对的官方节点</w:t>
      </w:r>
    </w:p>
    <w:p>
      <w:r>
        <w:t>河南工业大学教务处2026年9月22日通知：10月15日24:00前通过校园网络报名；11月16日至27日为初赛材料上传阶段，11月27日前上传。核心材料为PPT、策划书和项目界面功能视频；源码、测试与部署文档可作支撑。建议策划书不少于20页和10000字，PPT约20页，视频不超过7分钟。若通知调整，以学校最新说明为准。</w:t>
      </w:r>
    </w:p>
    <w:p>
      <w:r>
        <w:t>官方通知：https://jwc.haut.edu.cn/info/1114/13551.htm</w:t>
      </w:r>
    </w:p>
    <w:p>
      <w:pPr>
        <w:pStyle w:val="Heading2"/>
      </w:pPr>
      <w:r>
        <w:t>责任人填写</w:t>
      </w:r>
    </w:p>
    <w:p>
      <w:r>
        <w:t>报名与材料提交：________________    账号与部署验收：________________</w:t>
      </w:r>
    </w:p>
    <w:p>
      <w:r>
        <w:t>用户任务组织：________________    资料与费用核对：________________</w:t>
      </w:r>
    </w:p>
    <w:p>
      <w:r>
        <w:t>本轮未登录竞赛报名系统，也未替团队完成正式报名或材料提交。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2026年10月3日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ubtitle"/>
    </w:pPr>
    <w:r>
      <w:t>豫见行迹  项目验收与改进意见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  <w:snapToGrid w:val="0"/>
    </w:pPr>
    <w:rPr>
      <w:rFonts w:ascii="Noto Sans SC" w:hAnsi="Noto Sans SC" w:eastAsia="Noto Sans S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 w:line="420" w:lineRule="exact"/>
      <w:outlineLvl w:val="0"/>
      <w:snapToGrid w:val="0"/>
    </w:pPr>
    <w:rPr>
      <w:rFonts w:ascii="Noto Sans SC" w:hAnsi="Noto Sans SC" w:eastAsia="Noto Sans SC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 w:line="340" w:lineRule="exact"/>
      <w:outlineLvl w:val="1"/>
      <w:snapToGrid w:val="0"/>
    </w:pPr>
    <w:rPr>
      <w:rFonts w:ascii="Noto Sans SC" w:hAnsi="Noto Sans SC" w:eastAsia="Noto Sans SC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580" w:lineRule="exact"/>
      <w:contextualSpacing/>
      <w:keepNext/>
      <w:snapToGrid w:val="0"/>
    </w:pPr>
    <w:rPr>
      <w:rFonts w:ascii="Noto Sans SC" w:hAnsi="Noto Sans SC" w:eastAsia="Noto Sans SC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10" w:lineRule="exact"/>
      <w:snapToGrid w:val="0"/>
    </w:pPr>
    <w:rPr>
      <w:rFonts w:ascii="Noto Sans SC" w:hAnsi="Noto Sans SC" w:eastAsia="Noto Sans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10" w:lineRule="exact" w:after="120"/>
      <w:snapToGrid w:val="0"/>
    </w:pPr>
    <w:rPr>
      <w:rFonts w:ascii="Noto Sans SC" w:hAnsi="Noto Sans SC" w:eastAsia="Noto Sans SC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