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0" w:after="160"/>
      </w:pPr>
      <w:r>
        <w:rPr>
          <w:rFonts w:ascii="Noto Sans CJK SC" w:hAnsi="Noto Sans CJK SC" w:eastAsia="Noto Sans CJK SC"/>
          <w:b/>
          <w:color w:val="000000"/>
          <w:sz w:val="30"/>
          <w:u w:val="none"/>
        </w:rPr>
        <w:t>河南工业大学</w:t>
      </w:r>
    </w:p>
    <w:p>
      <w:pPr>
        <w:spacing w:line="288" w:lineRule="auto" w:before="0" w:after="160"/>
      </w:pPr>
      <w:r>
        <w:rPr>
          <w:rFonts w:ascii="Noto Sans CJK SC" w:hAnsi="Noto Sans CJK SC" w:eastAsia="Noto Sans CJK SC"/>
          <w:b/>
          <w:color w:val="000000"/>
          <w:sz w:val="34"/>
          <w:u w:val="none"/>
        </w:rPr>
        <w:t>第三届“讯飞杯”AI+创新应用大赛</w:t>
      </w:r>
    </w:p>
    <w:p>
      <w:pPr>
        <w:pStyle w:val="Title"/>
        <w:spacing w:line="288" w:lineRule="auto" w:before="0" w:after="160"/>
      </w:pPr>
      <w:r>
        <w:rPr>
          <w:rFonts w:ascii="Noto Sans CJK SC" w:hAnsi="Noto Sans CJK SC" w:eastAsia="Noto Sans CJK SC"/>
          <w:b/>
          <w:color w:val="000000"/>
          <w:sz w:val="52"/>
          <w:u w:val="none"/>
        </w:rPr>
        <w:t>豫见行迹 项目部署说明</w:t>
      </w:r>
    </w:p>
    <w:p>
      <w:pPr>
        <w:spacing w:line="288" w:lineRule="auto" w:before="0" w:after="160"/>
      </w:pPr>
      <w:r>
        <w:rPr>
          <w:rFonts w:ascii="Noto Sans CJK SC" w:hAnsi="Noto Sans CJK SC" w:eastAsia="Noto Sans CJK SC"/>
          <w:b/>
          <w:color w:val="000000"/>
          <w:sz w:val="48"/>
          <w:u w:val="none"/>
        </w:rPr>
        <w:t>豫见行迹</w:t>
      </w:r>
    </w:p>
    <w:p>
      <w:pPr>
        <w:spacing w:line="288" w:lineRule="auto" w:before="0" w:after="160"/>
      </w:pPr>
      <w:r>
        <w:rPr>
          <w:rFonts w:ascii="Noto Sans CJK SC" w:hAnsi="Noto Sans CJK SC" w:eastAsia="Noto Sans CJK SC"/>
          <w:b/>
          <w:color w:val="000000"/>
          <w:sz w:val="32"/>
          <w:u w:val="none"/>
        </w:rPr>
        <w:t>河南周末游决策助手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color w:val="000000"/>
          <w:u w:val="none"/>
        </w:rPr>
        <w:t>项目名称：豫见行迹——河南周末游决策助手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color w:val="000000"/>
          <w:u w:val="none"/>
        </w:rPr>
        <w:t>拟报方向：AI+城市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color w:val="000000"/>
          <w:u w:val="none"/>
        </w:rPr>
        <w:t>团队名称：________________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color w:val="000000"/>
          <w:u w:val="none"/>
        </w:rPr>
        <w:t>团队成员：________________</w:t>
      </w:r>
    </w:p>
    <w:p>
      <w:pPr>
        <w:spacing w:line="300" w:lineRule="auto" w:after="120"/>
      </w:pPr>
      <w:r>
        <w:rPr>
          <w:rFonts w:ascii="Noto Sans CJK SC" w:hAnsi="Noto Sans CJK SC" w:eastAsia="Noto Sans CJK SC"/>
          <w:color w:val="000000"/>
          <w:u w:val="none"/>
        </w:rPr>
        <w:t>指导教师：________________</w:t>
      </w:r>
    </w:p>
    <w:p>
      <w:pPr>
        <w:pStyle w:val="Subtitle"/>
      </w:pPr>
      <w:r>
        <w:rPr>
          <w:rFonts w:ascii="Noto Sans CJK SC" w:hAnsi="Noto Sans CJK SC" w:eastAsia="Noto Sans CJK SC"/>
          <w:color w:val="000000"/>
          <w:sz w:val="24"/>
          <w:u w:val="none"/>
        </w:rPr>
        <w:t>版本日期：2026年10月3日</w:t>
      </w:r>
    </w:p>
    <w:p>
      <w:pPr>
        <w:pStyle w:val="Heading1"/>
        <w:keepNext/>
        <w:pageBreakBefore/>
        <w:spacing w:before="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1 文件与运行环境</w:t>
      </w:r>
    </w:p>
    <w:p>
      <w:pPr>
        <w:spacing w:before="0" w:after="140" w:line="288" w:lineRule="auto"/>
        <w:ind w:firstLine="0" w:left="0" w:right="0"/>
      </w:pPr>
      <w:commentRangeStart w:id="0"/>
      <w:r>
        <w:rPr>
          <w:rFonts w:ascii="Noto Sans CJK SC" w:hAnsi="Noto Sans CJK SC" w:eastAsia="Noto Sans CJK SC"/>
          <w:color w:val="000000"/>
          <w:u w:val="none"/>
        </w:rPr>
        <w:t>本说明面向复核源码和运行演示的人员。当前版本可用 Node.js 24 及以上在本地启动完整页面与 SQLite 草稿接口，也可生成断网演示文件；线上采用 Sites Worker 与 D1。先完成无密钥的规则路径复现，再按需配置高德和讯飞服务，最后核对发布记录与测试证据。</w:t>
      </w:r>
      <w:commentRangeEnd w:id="0"/>
      <w:r>
        <w:rPr>
          <w:rStyle w:val="CommentReference"/>
        </w:rPr>
        <w:commentReference w:id="0"/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19"/>
          <w:u w:val="none"/>
        </w:rPr>
        <w:t>源码版本：a4a3bb19d1506114d7b5672586c9300ae8b6d8ab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0"/>
          <w:u w:val="none"/>
        </w:rPr>
        <w:t>版本范围：v11已于2026年10月3日14:54:03 UTC发布，新增数字、并列否定、跨日转场和金额精度修复；14:41–14:45 UTC的模型与交通截图属于 v10。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5656"/>
      </w:tblGrid>
      <w:tr>
        <w:trPr>
          <w:cantSplit/>
          <w:tblHeader/>
        </w:trPr>
        <w:tc>
          <w:tcPr>
            <w:tcW w:type="dxa" w:w="3528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路径</w:t>
            </w:r>
          </w:p>
        </w:tc>
        <w:tc>
          <w:tcPr>
            <w:tcW w:type="dxa" w:w="5656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职责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app.html 与三份样式文件</w:t>
            </w:r>
          </w:p>
        </w:tc>
        <w:tc>
          <w:tcPr>
            <w:tcW w:type="dxa" w:w="5656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页面、地图、主题路线、行程总览和行程检查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decision-core.mjs / decision.js</w:t>
            </w:r>
          </w:p>
        </w:tc>
        <w:tc>
          <w:tcPr>
            <w:tcW w:type="dxa" w:w="565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共享决策核心、需求确认、候选和体验记录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journey.js / showcase.js</w:t>
            </w:r>
          </w:p>
        </w:tc>
        <w:tc>
          <w:tcPr>
            <w:tcW w:type="dxa" w:w="5656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草稿、交通、总览与规则互动示例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server.mjs</w:t>
            </w:r>
          </w:p>
        </w:tc>
        <w:tc>
          <w:tcPr>
            <w:tcW w:type="dxa" w:w="565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草稿、模型、配置、精选目录接口及地图安全代理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henan.json 与根目录 JPG</w:t>
            </w:r>
          </w:p>
        </w:tc>
        <w:tc>
          <w:tcPr>
            <w:tcW w:type="dxa" w:w="5656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六城22个精选地点、三条路线及11张实景照片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scripts/ 与 package-lock.json</w:t>
            </w:r>
          </w:p>
        </w:tc>
        <w:tc>
          <w:tcPr>
            <w:tcW w:type="dxa" w:w="565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组装、构建、离线生成、测试和锁定开发依赖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drizzle/ 与 db/schema.ts</w:t>
            </w:r>
          </w:p>
        </w:tc>
        <w:tc>
          <w:tcPr>
            <w:tcW w:type="dxa" w:w="5656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已生成数据库迁移与表结构定义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.openai/hosting.json</w:t>
            </w:r>
          </w:p>
        </w:tc>
        <w:tc>
          <w:tcPr>
            <w:tcW w:type="dxa" w:w="565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Sites 项目绑定；D1 绑定名称为 DB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worker/index.js / dist/</w:t>
            </w:r>
          </w:p>
        </w:tc>
        <w:tc>
          <w:tcPr>
            <w:tcW w:type="dxa" w:w="5656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生成文件；发布入口为 dist/server/index.js</w:t>
            </w:r>
          </w:p>
        </w:tc>
      </w:tr>
    </w:tbl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环境要求：Node.js 24+、Python 3、Bash、npm。本地 SQLite 使用 Node 内置 node:sqlite；运行时无需 npm 依赖。仅修改数据库结构时才需 npm ci 安装锁定的 Drizzle 开发依赖；本轮未完成该安装分支验证。操作系统或浏览器差异另行验收。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规则演示不需要第三方密钥。精选坐标只作片区展示，不能当作精确导航入口；道路路线、餐饮住宿检索和地图底图需要联网。模型与地图不可用时，保留明确标识来源的规则和精选内容。</w:t>
      </w:r>
    </w:p>
    <w:p>
      <w:pPr>
        <w:pStyle w:val="Heading1"/>
        <w:keepNext/>
        <w:pageBreakBefore/>
        <w:spacing w:before="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2 本地构建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解压源码后进入包含 package.json 的根目录。在 Node.js 24 环境执行以下命令，无需先执行 npm ci。npm run build 会组装作者文件并生成发布目录，无需手工修改 worker/index.js。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--version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python3 --version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npm run build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npm run validate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scripts/offline.mjs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npm run dev</w:t>
      </w:r>
    </w:p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本轮已确认 Node24 本地服务成功启动；本地浏览器界面尚未完成实测。启动成功后终端应显示 http://127.0.0.1:8787。在浏览器访问该地址；服务只监听本机回环地址。默认未提供在线配置时，可验证精选地点、需求规则识别、候选预览、明确应用、撤销、费用待填和 JSON 导入导出。结束时在运行服务的终端按 Ctrl+C。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本地服务 scripts/dev.mjs 按文件名顺序应用 drizzle/*.sql，记录已应用迁移，数据库保存在未提交的 .local/travel.sqlite。不要删除该文件来排障，以免丢失本地测试草稿；需要重新开始时先停止服务并备份整个 .local 目录。</w:t>
      </w:r>
    </w:p>
    <w:p>
      <w:pPr>
        <w:pStyle w:val="Heading2"/>
        <w:keepNext/>
        <w:pageBreakBefore w:val="0"/>
        <w:spacing w:before="14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本地接口烟雾检查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1"/>
          <w:u w:val="none"/>
        </w:rPr>
        <w:t>另开终端验证配置和规则识别。无密钥环境应显示 mapConfigured=false、aiConfigured=false、persistenceConfigured=true；规则结果的 source 应为 rules。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curl -s http://127.0.0.1:8787/api/config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curl -s http://127.0.0.1:8787/api/intent \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 xml:space="preserve">  -H 'Content-Type: application/json' \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 xml:space="preserve">  --data '{"text":"洛阳两天，预算300元","engine":"rules"}'</w:t>
      </w:r>
    </w:p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1"/>
          <w:u w:val="none"/>
        </w:rPr>
        <w:t>如 8787 已占用，可使用 TRAVEL_DEV_PORT=8788 npm run dev，并同步修改访问地址。改变作者文件后停止服务、重新 build，再重启，避免检查旧的生成文件。双击 app.html 无法完整复现在线功能。</w:t>
      </w:r>
    </w:p>
    <w:p>
      <w:pPr>
        <w:pStyle w:val="Heading2"/>
        <w:keepNext/>
        <w:pageBreakBefore/>
        <w:spacing w:before="14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本地保存与离线复现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本地夹具允许通过 oai-authenticated-user-id 请求头模拟身份。该机制仅用于回环地址测试；线上身份由 Sites 平台认证层注入，不能将可手填的请求头当作自行实现的登录。浏览器访客页本身不会因本地数据库存在而自动成为认证用户。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1"/>
          <w:u w:val="none"/>
        </w:rPr>
        <w:t>先用不带身份的 GET 请求确认返回401；再选一个未使用过的本地测试身份。下面的 local-doc-demo 只是夹具标识，可替换为新的测试标识。首次读取应返回 draft=null、revision=0。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curl -i http://127.0.0.1:8787/api/draft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curl -s http://127.0.0.1:8787/api/draft \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 xml:space="preserve">  -H 'oai-authenticated-user-id: local-doc-demo'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curl -i http://127.0.0.1:8787/api/draft \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 xml:space="preserve">  -H 'oai-authenticated-user-id: local-doc-demo' \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 xml:space="preserve">  -H 'Content-Type: application/json' \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 xml:space="preserve">  --data '{"draft":{"days":2,"start":"09:00","stops":[]},"revision":0}'</w:t>
      </w:r>
    </w:p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首次写入应返回200与新的 revision。重新 GET 验证草稿恢复，再把同一条 revision=0 的写入重复一次，应返回409并拒绝覆盖。换另一个未使用身份读取应仍为 draft=null。之后的合法更新须使用最近 GET 得到的 revision。此流程验证本地实现，生产 D1 和真实账号仍需独立验收。</w:t>
      </w:r>
    </w:p>
    <w:p>
      <w:pPr>
        <w:pStyle w:val="Heading2"/>
        <w:keepNext/>
        <w:pageBreakBefore w:val="0"/>
        <w:spacing w:before="14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断网演示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生成 index-offline.html 后，可将这个文件单独复制并双击打开。断网检查11张内嵌照片、精选详情、路线载入、日期与停留时长编辑、规则整理和导入导出。离线文件不连接模型、高德道路地图、实时餐饮住宿查询或账号保存。导出的 JSON 由展示者自行留存。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线上账号只保存最新行程，页面撤销最多20步；未实现服务器历史版本。访客只有当前页草稿，刷新前应导出。保存失败要保留当前输入并导出排障；历史草稿读取成功前应暂停编辑，不应用示例覆盖读取失败的数据。</w:t>
      </w:r>
    </w:p>
    <w:p>
      <w:pPr>
        <w:pStyle w:val="Heading1"/>
        <w:keepNext/>
        <w:pageBreakBefore/>
        <w:spacing w:before="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3 服务配置与发布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所有真实凭据仅由项目管理者在服务端 secret 或既有终端环境中提供。源码、截图、文档、视频及压缩包只保留变量名。下表是配置契约；配置存在不等于服务可用，发布后须执行下一章的真实检查。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2"/>
        <w:gridCol w:w="6103"/>
      </w:tblGrid>
      <w:tr>
        <w:trPr>
          <w:cantSplit/>
          <w:tblHeader/>
        </w:trPr>
        <w:tc>
          <w:tcPr>
            <w:tcW w:type="dxa" w:w="3082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变量或绑定</w:t>
            </w:r>
          </w:p>
        </w:tc>
        <w:tc>
          <w:tcPr>
            <w:tcW w:type="dxa" w:w="6103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设置与作用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AMAP_JS_KEY</w:t>
            </w:r>
          </w:p>
        </w:tc>
        <w:tc>
          <w:tcPr>
            <w:tcW w:type="dxa" w:w="6103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高德 Web 端 JS API Key；浏览器地图使用，需匹配平台类型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AMAP_SECURITY_JS_CODE</w:t>
            </w:r>
          </w:p>
        </w:tc>
        <w:tc>
          <w:tcPr>
            <w:tcW w:type="dxa" w:w="61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地图安全校验码，仅服务端；不得写入 HTML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DB</w:t>
            </w:r>
          </w:p>
        </w:tc>
        <w:tc>
          <w:tcPr>
            <w:tcW w:type="dxa" w:w="6103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D1 绑定；保存账号草稿和公共演示额度记录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LLM_API_KEY</w:t>
            </w:r>
          </w:p>
        </w:tc>
        <w:tc>
          <w:tcPr>
            <w:tcW w:type="dxa" w:w="61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讯飞 MaaS API 管理页 ak- 开头的凭据；服务端 secret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LLM_BASE_URL</w:t>
            </w:r>
          </w:p>
        </w:tc>
        <w:tc>
          <w:tcPr>
            <w:tcW w:type="dxa" w:w="6103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https://maas-api.cn-huabei-1.xf-yun.com/v2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LLM_MODEL</w:t>
            </w:r>
          </w:p>
        </w:tc>
        <w:tc>
          <w:tcPr>
            <w:tcW w:type="dxa" w:w="61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spark-x2.5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LLM_MAX_TOKENS</w:t>
            </w:r>
          </w:p>
        </w:tc>
        <w:tc>
          <w:tcPr>
            <w:tcW w:type="dxa" w:w="6103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4096；回复长度请求参数，不是账单金额或总 Token 硬上限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LLM_PUBLIC_DEMO</w:t>
            </w:r>
          </w:p>
        </w:tc>
        <w:tc>
          <w:tcPr>
            <w:tcW w:type="dxa" w:w="61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true 开启公共模型演示；必须具备额度控制表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LLM_DAILY_LIMIT</w:t>
            </w:r>
          </w:p>
        </w:tc>
        <w:tc>
          <w:tcPr>
            <w:tcW w:type="dxa" w:w="6103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120；UTC 日全站模型尝试次数上限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LLM_CLIENT_DAILY_LIMIT</w:t>
            </w:r>
          </w:p>
        </w:tc>
        <w:tc>
          <w:tcPr>
            <w:tcW w:type="dxa" w:w="610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10；UTC 日单访问者模型尝试次数上限</w:t>
            </w:r>
          </w:p>
        </w:tc>
      </w:tr>
    </w:tbl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地图代理使用 /_AMapService/ 和固定上游白名单；浏览器可获得地图 JS Key，但不能获得地图安全校验码和模型 Key。当前主要使用高德 JS API；可选 AMAP_WEB_SERVICE_KEY 属于独立 Web 服务路径，不能用错误平台类型的 Key 代替。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模型基址不应附加 /chat/completions，服务端会自行追加。不要将旧 Ultra 示例的 APIPassword 与 MaaS ak 凭据混用。对 X2.5 请求只发送该适配路径明确使用的 chat/completions 参数，不发送 response_format、tools 或 thinking_budget。</w:t>
      </w:r>
    </w:p>
    <w:p>
      <w:pPr>
        <w:pStyle w:val="Heading2"/>
        <w:keepNext/>
        <w:pageBreakBefore/>
        <w:spacing w:before="14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模型边界与数据库迁移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服务端分别处理 /api/intent 需求提取和 /api/plan 排序分日。模型只使用已有目录或输入地点 ID；服务端解析最终 content 的 JSON，并验证类型、地点完整性、日期、明确数字和排除要求。生成候选不会直接改写草稿，用户确认替换后才应用。每日时长上限是规划目标，实际交通、费用和其他约束仍需检查。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对有效业务请求，未配置、模型异常、25秒等待超时、非法结构、非法地点或额度不足时返回 HTTP200、source=rules；发生模型尝试失败或受限时附 fallback.reason。明确选择规则或未配置模型时直接返回规则，不强制产生 fallback 字段。输入非法仍可能返回4xx，不能把所有 HTTP200 都记作模型成功。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开启公共演示后，每次模型调用前先预约额度；需求识别和生成候选是不同请求，均可能计次。失败仍占用已预约次数，不自动重试。按 UTC 日计数，匿名访问使用服务端获得的 IP 加盐哈希，数据库不保存原始 IP；无 IP 时共享额度。旧额度记录在成功预约后清理超过7天的数据。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120/10 是调用尝试次数的默认保护值，不能表述为人民币预算上限。共享网络、代理、身份变化与请求参数均会影响口径；它不是强账户配额或生产防滥用系统。LLM_PUBLIC_DEMO=false 时访客走规则；认证用户分支不使用公共演示额度限制，部署者应另行控制供应商侧额度。</w:t>
      </w:r>
    </w:p>
    <w:p>
      <w:pPr>
        <w:pStyle w:val="Heading2"/>
        <w:keepNext/>
        <w:pageBreakBefore w:val="0"/>
        <w:spacing w:before="14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迁移与构建产物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drizzle/0000_smiling_sphinx.sql  # travel_drafts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drizzle/0001_brainy_ben_urich.sql # model_usage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npm run build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npm run validate</w:t>
      </w:r>
    </w:p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构建复制已生成迁移到 dist/.openai/drizzle，并保留 dist/.openai/hosting.json 中 d1=DB。发布时由托管流程应用迁移，Worker 运行时不建表。只有修改数据库结构时才先执行 npm ci，再运行 npm run db:generate；这条开发依赖安装分支本轮未验证，不得重写已有迁移。缺少 DB、缺少 model_usage 或数据库异常时，公共模型演示应关闭模型调用并回退规则。</w:t>
      </w:r>
    </w:p>
    <w:p>
      <w:pPr>
        <w:pStyle w:val="Heading1"/>
        <w:keepNext/>
        <w:pageBreakBefore/>
        <w:spacing w:before="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4 发布后检查与回滚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v11已于2026年10月3日14:54:03 UTC发布，部署记录为 appgdep_6ac1170477548191af2f9278727025d4，源码提交见第2页。后续沿用现有 Sites 项目。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0"/>
          <w:u w:val="none"/>
        </w:rPr>
        <w:t>站点：https://roam-map-planner.dangqihan7.chatgpt.site/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每次发布先在独立访客页检查，再用获授权的真实测试账号验证保存。记录UTC时间、浏览器、步骤和证据，不覆盖原有草稿。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8392"/>
      </w:tblGrid>
      <w:tr>
        <w:trPr>
          <w:cantSplit/>
          <w:tblHeader/>
        </w:trPr>
        <w:tc>
          <w:tcPr>
            <w:tcW w:type="dxa" w:w="792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顺序</w:t>
            </w:r>
          </w:p>
        </w:tc>
        <w:tc>
          <w:tcPr>
            <w:tcW w:type="dxa" w:w="8392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检查与通过条件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1</w:t>
            </w:r>
          </w:p>
        </w:tc>
        <w:tc>
          <w:tcPr>
            <w:tcW w:type="dxa" w:w="83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/api/config 只返回公开配置状态和地图 JS Key；页面及网络响应不含模型 Key 或安全校验码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2</w:t>
            </w:r>
          </w:p>
        </w:tc>
        <w:tc>
          <w:tcPr>
            <w:tcW w:type="dxa" w:w="83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地图底图与署名正常；慢加载、失败、重试可识别；高德不可用时保留精选内容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3</w:t>
            </w:r>
          </w:p>
        </w:tc>
        <w:tc>
          <w:tcPr>
            <w:tcW w:type="dxa" w:w="83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地点搜索与照片可见；交通核算前确认实际 POI/入口；公交限同城，跨城车次另行确认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4</w:t>
            </w:r>
          </w:p>
        </w:tc>
        <w:tc>
          <w:tcPr>
            <w:tcW w:type="dxa" w:w="83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真实模型需求识别和候选分别核对 source/provider；预览不修改草稿；明确替换后才生效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5</w:t>
            </w:r>
          </w:p>
        </w:tc>
        <w:tc>
          <w:tcPr>
            <w:tcW w:type="dxa" w:w="83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未知交通与费用保持待确认；固定日期和局部重排正确；修改路线后旧交通缓存失效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6</w:t>
            </w:r>
          </w:p>
        </w:tc>
        <w:tc>
          <w:tcPr>
            <w:tcW w:type="dxa" w:w="83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真实账号保存后刷新恢复；第二身份不串读；两个页面的过时 revision 写入应被拒绝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7</w:t>
            </w:r>
          </w:p>
        </w:tc>
        <w:tc>
          <w:tcPr>
            <w:tcW w:type="dxa" w:w="8392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模型受限或异常时规则可用并说明原因；不要在公开演示中为测试而主动耗尽全部付费额度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8</w:t>
            </w:r>
          </w:p>
        </w:tc>
        <w:tc>
          <w:tcPr>
            <w:tcW w:type="dxa" w:w="83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在至少一个窄屏设备和不同浏览器复核；导入导出、断网文件与打印无明显遮挡</w:t>
            </w:r>
          </w:p>
        </w:tc>
      </w:tr>
    </w:tbl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2026年10月3日线上记录分为两次：v10在14:41–14:45 UTC完成模型分日与真实公交核算，暴露46分钟超时；v11在14:56–14:58 UTC需求识别成功，规划约25秒后提示连接失败或超时并回退规则，明确载入后4站、0冲突、3待确认。两次顺序不同，交通快照不得复用；生产D1和全浏览器仍待验。</w:t>
      </w:r>
    </w:p>
    <w:p>
      <w:pPr>
        <w:pStyle w:val="Heading2"/>
        <w:keepNext/>
        <w:pageBreakBefore w:val="0"/>
        <w:spacing w:before="14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回滚原则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模型异常时保留规则；需停用模型时由管理者撤下配置，避免仅关闭公共演示却让认证用户失去配额保护。地图或保存严重故障时提示导出，恢复上一成功版本。保留D1与本地备份，确认旧代码兼容现有表；不要为回滚删除数据库或撤销已用迁移。</w:t>
      </w:r>
    </w:p>
    <w:p>
      <w:pPr>
        <w:pStyle w:val="Heading1"/>
        <w:keepNext/>
        <w:pageBreakBefore/>
        <w:spacing w:before="0" w:after="20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5 测试命令与提交复核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u w:val="none"/>
        </w:rPr>
        <w:t>在源码根目录执行以下检查。只有本轮命令全部退出码0、生成物校验通过，且报告哈希对应将要发布的版本，才可记录为本轮自动化通过。真实服务验收请配合项目测试说明逐项执行。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npm run build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npm run validate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scripts/offline.mjs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scripts/test-js-api.mjs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scripts/test-map-loader.mjs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scripts/test-journey.mjs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scripts/test-decision.mjs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scripts/test-offline.mjs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scripts/test-showcase.mjs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scripts/test-regressions.mjs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scripts/test-model-limits.mjs</w:t>
      </w:r>
    </w:p>
    <w:p>
      <w:pPr>
        <w:spacing w:before="0" w:after="40" w:line="252" w:lineRule="auto"/>
        <w:ind w:firstLine="0" w:left="0" w:right="0"/>
      </w:pPr>
      <w:r>
        <w:rPr>
          <w:rFonts w:ascii="DejaVu Sans Mono" w:hAnsi="DejaVu Sans Mono" w:eastAsia="Noto Sans CJK SC"/>
          <w:color w:val="000000"/>
          <w:sz w:val="19"/>
          <w:u w:val="none"/>
        </w:rPr>
        <w:t>node scripts/test-edge-cases.mjs</w:t>
      </w:r>
    </w:p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21"/>
          <w:u w:val="none"/>
        </w:rPr>
        <w:t>专项报告写入 competition-evidence/ 下的 regression-results.json、public-quota-results.json 和 edge-case-results.json；本轮全套结果见 final-test-runs.json。保留日志、UTC 时间、脚本退出码与源码版本；模型响应模拟、内存 SQLite 和生产环境结果分开归档。提交包不应带入 node_modules、.local、真实凭据或含身份数据的临时文件。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7485"/>
      </w:tblGrid>
      <w:tr>
        <w:trPr>
          <w:cantSplit/>
          <w:tblHeader/>
        </w:trPr>
        <w:tc>
          <w:tcPr>
            <w:tcW w:type="dxa" w:w="1699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提交项</w:t>
            </w:r>
          </w:p>
        </w:tc>
        <w:tc>
          <w:tcPr>
            <w:tcW w:type="dxa" w:w="7485"/>
            <w:vAlign w:val="center"/>
            <w:shd w:fill="193C4B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  <w:u w:val="none"/>
              </w:rPr>
              <w:t>复核要求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演示与文档</w:t>
            </w:r>
          </w:p>
        </w:tc>
        <w:tc>
          <w:tcPr>
            <w:tcW w:type="dxa" w:w="7485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功能和证据日期一致；未完成项标明；不将模拟测试写成真实用户成果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源码</w:t>
            </w:r>
          </w:p>
        </w:tc>
        <w:tc>
          <w:tcPr>
            <w:tcW w:type="dxa" w:w="74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保留锁定依赖、构建脚本、迁移、图片许可与资料来源；可从干净目录复现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信息与截止</w:t>
            </w:r>
          </w:p>
        </w:tc>
        <w:tc>
          <w:tcPr>
            <w:tcW w:type="dxa" w:w="7485"/>
            <w:vAlign w:val="center"/>
            <w:shd w:fill="F2F5F7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团队成员、指导教师待填；2026年10月15日24:00前报名，11月16日至27日上传作品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材料形式</w:t>
            </w:r>
          </w:p>
        </w:tc>
        <w:tc>
          <w:tcPr>
            <w:tcW w:type="dxa" w:w="74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before="0" w:after="0" w:line="271" w:lineRule="auto"/>
              <w:ind w:left="0" w:right="0" w:firstLine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u w:val="none"/>
              </w:rPr>
              <w:t>PPT约20页；策划书建议不少于20页且不少于10000字；视频不超过7分钟；以正式通知及附件为准</w:t>
            </w:r>
          </w:p>
        </w:tc>
      </w:tr>
    </w:tbl>
    <w:p>
      <w:pPr>
        <w:spacing w:before="0" w:after="60" w:line="288" w:lineRule="auto"/>
        <w:ind w:firstLine="0" w:left="0" w:right="0"/>
      </w:pP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19"/>
          <w:u w:val="none"/>
        </w:rPr>
        <w:t>赛事通知：https://jwc.haut.edu.cn/info/1114/13551.htm。模板附件及报名操作请按通知原文复核。</w:t>
      </w:r>
    </w:p>
    <w:p>
      <w:pPr>
        <w:spacing w:before="0" w:after="140" w:line="288" w:lineRule="auto"/>
        <w:ind w:firstLine="0" w:left="0" w:right="0"/>
      </w:pPr>
      <w:r>
        <w:rPr>
          <w:rFonts w:ascii="Noto Sans CJK SC" w:hAnsi="Noto Sans CJK SC" w:eastAsia="Noto Sans CJK SC"/>
          <w:color w:val="000000"/>
          <w:sz w:val="19"/>
          <w:u w:val="none"/>
        </w:rPr>
        <w:t>参考入口：README.md 为随源码工程说明；高德 JS 安全配置 https://lbs.amap.com/api/javascript-api-v2/guide/abc/jscode；讯飞 MaaS 协议 https://www.xfyun.cn/doc/spark/推理服务-http.html。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61" w:bottom="1134" w:left="1361" w:header="720" w:footer="720" w:gutter="0"/>
      <w:cols w:space="72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修订说明" w:initials="修订" w:date="2026-10-03T15:03:28Z">
    <w:p>
      <w:pPr>
        <w:pStyle w:val="CommentText"/>
      </w:pPr>
      <w:r>
        <w:rPr>
          <w:rStyle w:val="CommentReference"/>
        </w:rPr>
        <w:annotationRef/>
      </w:r>
      <w:r>
        <w:t>沿用原五章结构，补入 Node24 本地启动、SQLite 迁移、模型适配及额度设置；旧版“模型未配置/尚未联调”的概括已改为实现状态与实测范围分别说明。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000000"/>
        <w:sz w:val="18"/>
        <w:u w:val="none"/>
      </w:rPr>
      <w:t xml:space="preserve">2026.10.03  ·  工程验证版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color w:val="000000"/>
        <w:sz w:val="18"/>
        <w:u w:val="none"/>
      </w:rPr>
      <w:t>豫见行迹  /  项目部署说明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  <w:snapToGrid w:val="0"/>
      <w:ind w:left="0" w:right="0" w:firstLine="0"/>
    </w:pPr>
    <w:rPr>
      <w:rFonts w:ascii="Noto Sans CJK SC" w:hAnsi="Noto Sans CJK SC" w:eastAsia="Noto Sans CJK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Noto Sans CJK SC" w:hAnsi="Noto Sans CJK SC" w:eastAsia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Noto Sans CJK SC" w:hAnsi="Noto Sans CJK SC" w:eastAsia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ind w:left="0" w:right="0" w:firstLine="0"/>
      <w:outlineLvl w:val="0"/>
      <w:snapToGrid w:val="0"/>
    </w:pPr>
    <w:rPr>
      <w:rFonts w:cstheme="majorBidi" w:ascii="Noto Sans CJK SC" w:hAnsi="Noto Sans CJK SC" w:eastAsia="Noto Sans CJK SC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ind w:left="0" w:right="0" w:firstLine="0"/>
      <w:outlineLvl w:val="1"/>
      <w:snapToGrid w:val="0"/>
    </w:pPr>
    <w:rPr>
      <w:rFonts w:cstheme="majorBidi" w:ascii="Noto Sans CJK SC" w:hAnsi="Noto Sans CJK SC" w:eastAsia="Noto Sans CJK SC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80" w:line="338" w:lineRule="exact"/>
      <w:outlineLvl w:val="2"/>
      <w:snapToGrid w:val="0"/>
    </w:pPr>
    <w:rPr>
      <w:rFonts w:cstheme="majorBidi" w:ascii="Noto Sans CJK SC" w:hAnsi="Noto Sans CJK SC" w:eastAsia="Noto Sans CJK SC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 w:ascii="Noto Sans CJK SC" w:hAnsi="Noto Sans CJK SC" w:eastAsia="Noto Sans CJK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 w:ascii="Noto Sans CJK SC" w:hAnsi="Noto Sans CJK SC" w:eastAsia="Noto Sans CJK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  <w:rPr>
      <w:rFonts w:ascii="Noto Sans CJK SC" w:hAnsi="Noto Sans CJK SC" w:eastAsia="Noto Sans CJK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8" w:lineRule="auto"/>
      <w:ind w:left="0" w:right="0" w:firstLine="0"/>
      <w:contextualSpacing/>
      <w:snapToGrid w:val="0"/>
    </w:pPr>
    <w:rPr>
      <w:rFonts w:cstheme="majorBidi" w:ascii="Noto Sans CJK SC" w:hAnsi="Noto Sans CJK SC" w:eastAsia="Noto Sans CJK SC"/>
      <w:b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after="140" w:line="288" w:lineRule="auto"/>
      <w:ind w:left="0" w:right="0" w:firstLine="0"/>
    </w:pPr>
    <w:rPr>
      <w:rFonts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  <w:rPr>
      <w:rFonts w:ascii="Noto Sans CJK SC" w:hAnsi="Noto Sans CJK SC" w:eastAsia="Noto Sans CJK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  <w:rPr>
      <w:rFonts w:ascii="Noto Sans CJK SC" w:hAnsi="Noto Sans CJK SC" w:eastAsia="Noto Sans CJK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rFonts w:ascii="Noto Sans CJK SC" w:hAnsi="Noto Sans CJK SC" w:eastAsia="Noto Sans CJK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  <w:rPr>
      <w:rFonts w:ascii="Noto Sans CJK SC" w:hAnsi="Noto Sans CJK SC" w:eastAsia="Noto Sans CJK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Noto Sans CJK SC" w:hAnsi="Noto Sans CJK SC" w:eastAsia="Noto Sans CJK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rFonts w:ascii="Noto Sans CJK SC" w:hAnsi="Noto Sans CJK SC" w:eastAsia="Noto Sans CJK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rFonts w:ascii="Noto Sans CJK SC" w:hAnsi="Noto Sans CJK SC" w:eastAsia="Noto Sans CJK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豫见行迹 项目部署说明</dc:title>
  <dc:subject>河南周末游决策助手 竞赛技术材料</dc:subject>
  <dc:creator>参赛团队（待填写）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2026-10-03T15:02:00Z</dcterms:modified>
  <cp:category/>
</cp:coreProperties>
</file>