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B66C2"/>
          <w:sz w:val="32"/>
          <w:szCs w:val="32"/>
        </w:rPr>
        <w:t xml:space="preserve">Succession Planner — Change Log</w:t>
      </w:r>
    </w:p>
    <w:p>
      <w:pPr>
        <w:pBdr>
          <w:bottom w:val="single" w:color="0B66C2" w:sz="8" w:space="5"/>
        </w:pBdr>
        <w:spacing w:after="130"/>
      </w:pPr>
      <w:r>
        <w:rPr>
          <w:i/>
          <w:iCs/>
          <w:color w:val="5C6B80"/>
          <w:sz w:val="18"/>
          <w:szCs w:val="18"/>
        </w:rPr>
        <w:t xml:space="preserve">HR feature round + review fixes · verified by 158 automated browser tests, zero console errors.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The eight HR requests — status</w:t>
      </w:r>
    </w:p>
    <w:tbl>
      <w:tblPr>
        <w:tblW w:type="dxa" w:w="8500"/>
        <w:tblBorders>
          <w:top w:val="single" w:color="DFE5ED" w:sz="4"/>
          <w:left w:val="single" w:color="DFE5ED" w:sz="4"/>
          <w:bottom w:val="single" w:color="DFE5ED" w:sz="4"/>
          <w:right w:val="single" w:color="DFE5ED" w:sz="4"/>
          <w:insideH w:val="single" w:color="DFE5ED" w:sz="4"/>
          <w:insideV w:val="single" w:color="DFE5ED" w:sz="4"/>
        </w:tblBorders>
      </w:tblPr>
      <w:tblGrid>
        <w:gridCol w:w="2300"/>
        <w:gridCol w:w="6200"/>
      </w:tblGrid>
      <w:tr>
        <w:tc>
          <w:tcPr>
            <w:tcW w:type="dxa" w:w="23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Per-plan readiness</w:t>
            </w:r>
          </w:p>
        </w:tc>
        <w:tc>
          <w:tcPr>
            <w:tcW w:type="dxa" w:w="62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Readiness (and the other plan fields) live on the slate row; the person value is only the default. Rules and the chess board read the plan value. Editable inline on the role page and the person profile.</w:t>
            </w:r>
          </w:p>
        </w:tc>
      </w:tr>
      <w:tr>
        <w:tc>
          <w:tcPr>
            <w:tcW w:type="dxa" w:w="23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Rename / remove built-ins</w:t>
            </w:r>
          </w:p>
        </w:tc>
        <w:tc>
          <w:tcPr>
            <w:tcW w:type="dxa" w:w="6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Data Tools → Built-in Fields: "Shows as" renames, "Show" hides a field from every form, table, filter and picker. Reversible — stored values are never deleted. Identity fields (IDs, names) are protected.</w:t>
            </w:r>
          </w:p>
        </w:tc>
      </w:tr>
      <w:tr>
        <w:tc>
          <w:tcPr>
            <w:tcW w:type="dxa" w:w="23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Dropdown custom fields</w:t>
            </w:r>
          </w:p>
        </w:tc>
        <w:tc>
          <w:tcPr>
            <w:tcW w:type="dxa" w:w="62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New "List / Dropdown" field type with fixed options, offered everywhere custom fields appear.</w:t>
            </w:r>
          </w:p>
        </w:tc>
      </w:tr>
      <w:tr>
        <w:tc>
          <w:tcPr>
            <w:tcW w:type="dxa" w:w="23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Multi-condition widgets</w:t>
            </w:r>
          </w:p>
        </w:tc>
        <w:tc>
          <w:tcPr>
            <w:tcW w:type="dxa" w:w="6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Any number of AND conditions per widget, incl. "is any of / is none of" with tick-box value pickers.</w:t>
            </w:r>
          </w:p>
        </w:tc>
      </w:tr>
      <w:tr>
        <w:tc>
          <w:tcPr>
            <w:tcW w:type="dxa" w:w="23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Name columns in XLSX</w:t>
            </w:r>
          </w:p>
        </w:tc>
        <w:tc>
          <w:tcPr>
            <w:tcW w:type="dxa" w:w="62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Roles tab: Incumbent Name. Candidates tab: Name. Display-only — re-importing the workbook ignores them, so round-trips stay exact.</w:t>
            </w:r>
          </w:p>
        </w:tc>
      </w:tr>
      <w:tr>
        <w:tc>
          <w:tcPr>
            <w:tcW w:type="dxa" w:w="23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Persistent history</w:t>
            </w:r>
          </w:p>
        </w:tc>
        <w:tc>
          <w:tcPr>
            <w:tcW w:type="dxa" w:w="6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Already persisted in the CSV (HISTORY rows) — it was only "reset" when starting from a blank file. Events logged include successor named, appointed, readiness updated, fields changed.</w:t>
            </w:r>
          </w:p>
        </w:tc>
      </w:tr>
      <w:tr>
        <w:tc>
          <w:tcPr>
            <w:tcW w:type="dxa" w:w="23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Employee ID standalone</w:t>
            </w:r>
          </w:p>
        </w:tc>
        <w:tc>
          <w:tcPr>
            <w:tcW w:type="dxa" w:w="6200"/>
            <w:shd w:fill="F4F6F9" w:color="auto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DONE. Own column in the CSV, the person form, the Candidates table and all exports; import maps "Employee ID" headers to it.</w:t>
            </w:r>
          </w:p>
        </w:tc>
      </w:tr>
      <w:tr>
        <w:tc>
          <w:tcPr>
            <w:tcW w:type="dxa" w:w="23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b/>
                <w:bCs/>
                <w:color w:val="1A2433"/>
                <w:sz w:val="18"/>
                <w:szCs w:val="18"/>
              </w:rPr>
              <w:t xml:space="preserve">Chess piece definition</w:t>
            </w:r>
          </w:p>
        </w:tc>
        <w:tc>
          <w:tcPr>
            <w:tcW w:type="dxa" w:w="6200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color w:val="5C6B80"/>
                <w:sz w:val="18"/>
                <w:szCs w:val="18"/>
              </w:rPr>
              <w:t xml:space="preserve">Confirmed: rank-driven by default (#1 Queen → #5+ Pawn). Now configurable: Data Tools → Chess Piece Mapping can key pieces off any field value, with rank fallback.</w:t>
            </w:r>
          </w:p>
        </w:tc>
      </w:tr>
    </w:tbl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Review fixes on top of that build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Widget "is any of / is none of" boxes: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checkboxes were stretched full-width by a global input style and misaligned — they are checkbox-sized and aligned now (regression-tested).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Widget single values: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value box was a type-ahead that hid non-matching options after a pick. "Equal to" now uses a real dropdown of every current value; free text remains for "contains".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Candidates column picker: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4-column cap counted hidden fields (blocking new picks) and a newly added field didn’t appear until it had a value; hidden/deleted fields could leave a stuck blank column. All three fixed; Employee ID added to the picker.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Excel round-trip: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new Incumbent Name column could override the Incumbent ID on re-import (both alias the same field). ID now wins whenever it is present.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/>
          <w:bCs/>
          <w:i w:val="false"/>
          <w:iCs w:val="false"/>
          <w:color w:val="1A2433"/>
          <w:sz w:val="19"/>
          <w:szCs w:val="19"/>
        </w:rPr>
        <w:t xml:space="preserve">Widget delete: </w:t>
      </w: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verified working — the ✕ on each dashboard card removes it (covered by a test).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Also carried by this build (from the review)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One guard for every mover: rules are enforced identically on manual approvals, Approve Top, auto-moves, queued moves and backfill cascades — a blocked candidate can no longer slip in through automation.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Imports can’t silently revert an approved move: overwriting a current incumbent or removing an approval is flagged red and left unchecked; a "fill blanks only" switch applies additions without overwriting existing data.</w:t>
      </w:r>
    </w:p>
    <w:p>
      <w:pPr>
        <w:pStyle w:val="ListParagraph"/>
        <w:numPr>
          <w:ilvl w:val="0"/>
          <w:numId w:val="1"/>
        </w:numPr>
        <w:spacing w:after="36" w:line="252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Exports are pure: Save/Export/backup never modify what’s on screen. The ⚡ queue is a toggle (click again to cancel). Eligibility rules can be flipped between "require a match" and "forbid a match".</w:t>
      </w:r>
    </w:p>
    <w:p>
      <w:pPr>
        <w:spacing w:after="60" w:before="170"/>
      </w:pPr>
      <w:r>
        <w:rPr>
          <w:b/>
          <w:bCs/>
          <w:color w:val="0B66C2"/>
          <w:sz w:val="22"/>
          <w:szCs w:val="22"/>
        </w:rPr>
        <w:t xml:space="preserve">Verification</w:t>
      </w:r>
    </w:p>
    <w:p>
      <w:pPr>
        <w:spacing w:after="70" w:line="258"/>
      </w:pPr>
      <w:r>
        <w:rPr>
          <w:b w:val="false"/>
          <w:bCs w:val="false"/>
          <w:i w:val="false"/>
          <w:iCs w:val="false"/>
          <w:color w:val="1A2433"/>
          <w:sz w:val="19"/>
          <w:szCs w:val="19"/>
        </w:rPr>
        <w:t xml:space="preserve">The full Playwright suite drives the real app in a real browser: 158 scenarios — every feature above plus round-trip byte-stability, hostile input, 3,000-person scale, a 25,000-row import benchmark and program-copy locks — all passing with zero console errors. See tests/STRESS_TEST_REPORT.md.</w:t>
      </w:r>
    </w:p>
    <w:sectPr>
      <w:pgSz w:w="12240" w:h="15840" w:orient="portrait"/>
      <w:pgMar w:top="680" w:right="880" w:bottom="6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2026-08-11T21:35:54.032Z</dcterms:created>
  <dcterms:modified xsi:type="dcterms:W3CDTF">2026-08-11T21:35:54.032Z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