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0B66C2"/>
          <w:sz w:val="32"/>
          <w:szCs w:val="32"/>
        </w:rPr>
        <w:t xml:space="preserve">Succession Planner — Quick Start</w:t>
      </w:r>
    </w:p>
    <w:p>
      <w:pPr>
        <w:pBdr>
          <w:bottom w:val="single" w:color="0B66C2" w:sz="8" w:space="5"/>
        </w:pBdr>
        <w:spacing w:after="130"/>
      </w:pPr>
      <w:r>
        <w:rPr>
          <w:i/>
          <w:iCs/>
          <w:color w:val="5C6B80"/>
          <w:sz w:val="18"/>
          <w:szCs w:val="18"/>
        </w:rPr>
        <w:t xml:space="preserve">One HTML file + one CSV. No install, no server, no login. The CSV file is the database.</w:t>
      </w:r>
    </w:p>
    <w:p>
      <w:pPr>
        <w:spacing w:after="60" w:before="170"/>
      </w:pPr>
      <w:r>
        <w:rPr>
          <w:b/>
          <w:bCs/>
          <w:color w:val="0B66C2"/>
          <w:sz w:val="22"/>
          <w:szCs w:val="22"/>
        </w:rPr>
        <w:t xml:space="preserve">First five minutes</w:t>
      </w:r>
    </w:p>
    <w:p>
      <w:pPr>
        <w:pStyle w:val="ListParagraph"/>
        <w:numPr>
          <w:ilvl w:val="0"/>
          <w:numId w:val="2"/>
        </w:numPr>
        <w:spacing w:after="50" w:line="254"/>
      </w:pP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Double-click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succession_planner.html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(use Chrome or Edge).</w:t>
      </w:r>
    </w:p>
    <w:p>
      <w:pPr>
        <w:pStyle w:val="ListParagraph"/>
        <w:numPr>
          <w:ilvl w:val="0"/>
          <w:numId w:val="2"/>
        </w:numPr>
        <w:spacing w:after="50" w:line="254"/>
      </w:pP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Click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Open CSV / Excel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and pick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succession_demo.csv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— a small demo with every feature already switched on.</w:t>
      </w:r>
    </w:p>
    <w:p>
      <w:pPr>
        <w:pStyle w:val="ListParagraph"/>
        <w:numPr>
          <w:ilvl w:val="0"/>
          <w:numId w:val="2"/>
        </w:numPr>
        <w:spacing w:after="50" w:line="254"/>
      </w:pP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Click any role card to open it; press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♞ Board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for the chess view. Drag a candidate onto the throne to stage a move — nothing is real until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Save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54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Save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(Ctrl+S) writes straight back into the same CSV.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Export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downloads a copy — it asks CSV or Excel.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Undo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(Ctrl+Z) reverses anything.</w:t>
      </w:r>
    </w:p>
    <w:p>
      <w:pPr>
        <w:spacing w:after="60" w:before="170"/>
      </w:pPr>
      <w:r>
        <w:rPr>
          <w:b/>
          <w:bCs/>
          <w:color w:val="0B66C2"/>
          <w:sz w:val="22"/>
          <w:szCs w:val="22"/>
        </w:rPr>
        <w:t xml:space="preserve">The tabs</w:t>
      </w:r>
    </w:p>
    <w:tbl>
      <w:tblPr>
        <w:tblW w:type="dxa" w:w="8500"/>
        <w:tblBorders>
          <w:top w:val="single" w:color="DFE5ED" w:sz="4"/>
          <w:left w:val="single" w:color="DFE5ED" w:sz="4"/>
          <w:bottom w:val="single" w:color="DFE5ED" w:sz="4"/>
          <w:right w:val="single" w:color="DFE5ED" w:sz="4"/>
          <w:insideH w:val="single" w:color="DFE5ED" w:sz="4"/>
          <w:insideV w:val="single" w:color="DFE5ED" w:sz="4"/>
        </w:tblBorders>
      </w:tblPr>
      <w:tblGrid>
        <w:gridCol w:w="1900"/>
        <w:gridCol w:w="6600"/>
      </w:tblGrid>
      <w:tr>
        <w:tc>
          <w:tcPr>
            <w:tcW w:type="dxa" w:w="1900"/>
            <w:shd w:fill="F4F6F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Org Tree</w:t>
            </w:r>
          </w:p>
        </w:tc>
        <w:tc>
          <w:tcPr>
            <w:tcW w:type="dxa" w:w="6600"/>
            <w:shd w:fill="F4F6F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color w:val="5C6B80"/>
                <w:sz w:val="18"/>
                <w:szCs w:val="18"/>
              </w:rPr>
              <w:t xml:space="preserve">The reporting chart, built from each role’s "Reports To" field. Zoom, drag, click a role to open it.</w:t>
            </w:r>
          </w:p>
        </w:tc>
      </w:tr>
      <w:tr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All Roles / your boards</w:t>
            </w:r>
          </w:p>
        </w:tc>
        <w:tc>
          <w:tcPr>
            <w:tcW w:type="dxa" w:w="66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color w:val="5C6B80"/>
                <w:sz w:val="18"/>
                <w:szCs w:val="18"/>
              </w:rPr>
              <w:t xml:space="preserve">The working boards. Drag candidates onto roles, reorder slates, approve moves. Filters are chips — multiselect, add or remove them.</w:t>
            </w:r>
          </w:p>
        </w:tc>
      </w:tr>
      <w:tr>
        <w:tc>
          <w:tcPr>
            <w:tcW w:type="dxa" w:w="1900"/>
            <w:shd w:fill="F4F6F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Candidates</w:t>
            </w:r>
          </w:p>
        </w:tc>
        <w:tc>
          <w:tcPr>
            <w:tcW w:type="dxa" w:w="6600"/>
            <w:shd w:fill="F4F6F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color w:val="5C6B80"/>
                <w:sz w:val="18"/>
                <w:szCs w:val="18"/>
              </w:rPr>
              <w:t xml:space="preserve">Everyone, once each. Pick your own columns (Columns ▾), flip on "Show roles &amp; tabs", delete with the ✕.</w:t>
            </w:r>
          </w:p>
        </w:tc>
      </w:tr>
      <w:tr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Insights</w:t>
            </w:r>
          </w:p>
        </w:tc>
        <w:tc>
          <w:tcPr>
            <w:tcW w:type="dxa" w:w="66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color w:val="5C6B80"/>
                <w:sz w:val="18"/>
                <w:szCs w:val="18"/>
              </w:rPr>
              <w:t xml:space="preserve">Coverage, vacancies, and your own dashboard widgets — now with several filter conditions each ("Internal AND readiness is any of …"). Hover a slice or bar for exact counts.</w:t>
            </w:r>
          </w:p>
        </w:tc>
      </w:tr>
      <w:tr>
        <w:tc>
          <w:tcPr>
            <w:tcW w:type="dxa" w:w="1900"/>
            <w:shd w:fill="F4F6F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Rules</w:t>
            </w:r>
          </w:p>
        </w:tc>
        <w:tc>
          <w:tcPr>
            <w:tcW w:type="dxa" w:w="6600"/>
            <w:shd w:fill="F4F6F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color w:val="5C6B80"/>
                <w:sz w:val="18"/>
                <w:szCs w:val="18"/>
              </w:rPr>
              <w:t xml:space="preserve">Guardrails in plain language, with an on/off switch. They apply to every mover: manual approvals, auto-moves, queues and cascades.</w:t>
            </w:r>
          </w:p>
        </w:tc>
      </w:tr>
      <w:tr>
        <w:tc>
          <w:tcPr>
            <w:tcW w:type="dxa" w:w="19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History</w:t>
            </w:r>
          </w:p>
        </w:tc>
        <w:tc>
          <w:tcPr>
            <w:tcW w:type="dxa" w:w="66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color w:val="5C6B80"/>
                <w:sz w:val="18"/>
                <w:szCs w:val="18"/>
              </w:rPr>
              <w:t xml:space="preserve">The audit trail — named successors, appointments, updates. It lives inside the CSV, so it persists across sessions.</w:t>
            </w:r>
          </w:p>
        </w:tc>
      </w:tr>
    </w:tbl>
    <w:p>
      <w:pPr>
        <w:spacing w:after="60" w:before="170"/>
      </w:pPr>
      <w:r>
        <w:rPr>
          <w:b/>
          <w:bCs/>
          <w:color w:val="0B66C2"/>
          <w:sz w:val="22"/>
          <w:szCs w:val="22"/>
        </w:rPr>
        <w:t xml:space="preserve">What HR asked for — all in, and where to find it</w:t>
      </w:r>
    </w:p>
    <w:p>
      <w:pPr>
        <w:pStyle w:val="ListParagraph"/>
        <w:numPr>
          <w:ilvl w:val="0"/>
          <w:numId w:val="1"/>
        </w:numPr>
        <w:spacing w:after="36" w:line="252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Readiness per plan.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The same person can be Ready Now for VP Finance and 3–5 Years for CFO — set it on the slate row (role page or person profile). Rules read the plan-level value.</w:t>
      </w:r>
    </w:p>
    <w:p>
      <w:pPr>
        <w:pStyle w:val="ListParagraph"/>
        <w:numPr>
          <w:ilvl w:val="0"/>
          <w:numId w:val="1"/>
        </w:numPr>
        <w:spacing w:after="36" w:line="252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Rename or hide built-in fields.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Data Tools → Built-in Fields: type your own label ("Flight Risk"), untick Show to remove a field everywhere. Hiding never deletes data — tick it back and values return.</w:t>
      </w:r>
    </w:p>
    <w:p>
      <w:pPr>
        <w:pStyle w:val="ListParagraph"/>
        <w:numPr>
          <w:ilvl w:val="0"/>
          <w:numId w:val="1"/>
        </w:numPr>
        <w:spacing w:after="36" w:line="252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Dropdown custom fields.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Data Tools → Add a Field → type "List / Dropdown" with fixed options (e.g. Gender). Forms then offer exactly those choices.</w:t>
      </w:r>
    </w:p>
    <w:p>
      <w:pPr>
        <w:pStyle w:val="ListParagraph"/>
        <w:numPr>
          <w:ilvl w:val="0"/>
          <w:numId w:val="1"/>
        </w:numPr>
        <w:spacing w:after="36" w:line="252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Employee ID.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Its own field on every person, separate from Email — made for Workday / HRIS matching. Available as a table column and export column.</w:t>
      </w:r>
    </w:p>
    <w:p>
      <w:pPr>
        <w:pStyle w:val="ListParagraph"/>
        <w:numPr>
          <w:ilvl w:val="0"/>
          <w:numId w:val="1"/>
        </w:numPr>
        <w:spacing w:after="36" w:line="252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Excel exports with names.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The workbook’s Roles tab has an Incumbent Name column and the Candidates tab a Name column — readable without ID lookups, and safely ignored on re-import.</w:t>
      </w:r>
    </w:p>
    <w:p>
      <w:pPr>
        <w:pStyle w:val="ListParagraph"/>
        <w:numPr>
          <w:ilvl w:val="0"/>
          <w:numId w:val="1"/>
        </w:numPr>
        <w:spacing w:after="36" w:line="252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Chess pieces, your way.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By default #1 = Queen, #2 = Rook, #3 = Bishop, #4 = Knight, #5+ = Pawn. Data Tools → Chess Piece Mapping can drive pieces by any field instead (e.g. Ready Now = Queen); unmapped values fall back to rank.</w:t>
      </w:r>
    </w:p>
    <w:p>
      <w:pPr>
        <w:spacing w:after="60" w:before="170"/>
      </w:pPr>
      <w:r>
        <w:rPr>
          <w:b/>
          <w:bCs/>
          <w:color w:val="0B66C2"/>
          <w:sz w:val="22"/>
          <w:szCs w:val="22"/>
        </w:rPr>
        <w:t xml:space="preserve">Safe to explore</w:t>
      </w:r>
    </w:p>
    <w:p>
      <w:pPr>
        <w:spacing w:after="70" w:line="258"/>
      </w:pPr>
      <w:r>
        <w:rPr>
          <w:b w:val="false"/>
          <w:bCs w:val="false"/>
          <w:i/>
          <w:iCs/>
          <w:color w:val="5C6B80"/>
          <w:sz w:val="19"/>
          <w:szCs w:val="19"/>
        </w:rPr>
        <w:t xml:space="preserve">Nothing touches the file until you press Save; Undo steps back through your changes; imports always show a review first — and a change that would overwrite a current incumbent or remove an approval is flagged and left unchecked unless you opt in. The 🎨 button (colors, piece sets) only changes your own view.</w:t>
      </w:r>
    </w:p>
    <w:sectPr>
      <w:pgSz w:w="12240" w:h="15840" w:orient="portrait"/>
      <w:pgMar w:top="680" w:right="880" w:bottom="600" w:left="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2026-08-11T21:35:54.022Z</dcterms:created>
  <dcterms:modified xsi:type="dcterms:W3CDTF">2026-08-11T21:35:54.022Z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