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Hình thức đánh giá: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  <w:tab/>
        <w:tab/>
        <w:t xml:space="preserve"> Định kỳ  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Đột xuất   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Ngày đánh giá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Tên bộ phận được đánh giá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Phạm vi đánh giá: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mực đánh giá: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Các yêu cầu của tiêu chuẩn ISO/IEC 17025:2017</w:t>
      </w:r>
    </w:p>
    <w:p w:rsidR="00000000" w:rsidDel="00000000" w:rsidP="00000000" w:rsidRDefault="00000000" w:rsidRPr="00000000" w14:paraId="00000006">
      <w:pPr>
        <w:spacing w:line="300" w:lineRule="auto"/>
        <w:ind w:left="426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Thành viên đánh giá: </w:t>
        <w:tab/>
      </w:r>
    </w:p>
    <w:p w:rsidR="00000000" w:rsidDel="00000000" w:rsidP="00000000" w:rsidRDefault="00000000" w:rsidRPr="00000000" w14:paraId="00000007">
      <w:pPr>
        <w:spacing w:line="300" w:lineRule="auto"/>
        <w:ind w:left="72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Những phát hiện</w:t>
        <w:tab/>
        <w:t xml:space="preserve">Số điều không phù hợp loại nặng (1): </w:t>
      </w:r>
    </w:p>
    <w:p w:rsidR="00000000" w:rsidDel="00000000" w:rsidP="00000000" w:rsidRDefault="00000000" w:rsidRPr="00000000" w14:paraId="00000008">
      <w:pPr>
        <w:spacing w:line="300" w:lineRule="auto"/>
        <w:ind w:left="720" w:firstLine="0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  <w:tab/>
        <w:t xml:space="preserve">Số điều không phù hợp loại nhẹ (2): </w:t>
      </w:r>
    </w:p>
    <w:p w:rsidR="00000000" w:rsidDel="00000000" w:rsidP="00000000" w:rsidRDefault="00000000" w:rsidRPr="00000000" w14:paraId="00000009">
      <w:pPr>
        <w:spacing w:line="300" w:lineRule="auto"/>
        <w:ind w:left="720" w:firstLine="0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ab/>
        <w:tab/>
        <w:t xml:space="preserve">Khuyến nghị (0):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line="300" w:lineRule="auto"/>
        <w:ind w:left="426" w:hanging="360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Nhận xét và kiến nghị :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spacing w:line="300" w:lineRule="auto"/>
        <w:ind w:left="142" w:firstLine="283.99999999999994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Nhận xét: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0E">
      <w:pPr>
        <w:spacing w:after="120" w:line="360" w:lineRule="auto"/>
        <w:ind w:firstLine="426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Kiến nghị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F">
      <w:pPr>
        <w:spacing w:line="300" w:lineRule="auto"/>
        <w:ind w:left="56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line="300" w:lineRule="auto"/>
        <w:ind w:left="56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0.0" w:type="dxa"/>
        <w:jc w:val="left"/>
        <w:tblInd w:w="-108.0" w:type="dxa"/>
        <w:tblLayout w:type="fixed"/>
        <w:tblLook w:val="0000"/>
      </w:tblPr>
      <w:tblGrid>
        <w:gridCol w:w="4645"/>
        <w:gridCol w:w="4645"/>
        <w:tblGridChange w:id="0">
          <w:tblGrid>
            <w:gridCol w:w="4645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Xác nhận của người đánh giá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Đại diện Bộ phận được đánh giá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tabs>
          <w:tab w:val="left" w:leader="none" w:pos="1731"/>
        </w:tabs>
        <w:spacing w:after="120" w:before="120" w:line="360" w:lineRule="auto"/>
        <w:ind w:left="426" w:firstLine="0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731"/>
        </w:tabs>
        <w:spacing w:after="120" w:before="120" w:line="360" w:lineRule="auto"/>
        <w:ind w:left="426" w:firstLine="0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0.0" w:type="dxa"/>
        <w:jc w:val="left"/>
        <w:tblInd w:w="-108.0" w:type="dxa"/>
        <w:tblLayout w:type="fixed"/>
        <w:tblLook w:val="0000"/>
      </w:tblPr>
      <w:tblGrid>
        <w:gridCol w:w="4645"/>
        <w:gridCol w:w="4645"/>
        <w:tblGridChange w:id="0">
          <w:tblGrid>
            <w:gridCol w:w="4645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tabs>
          <w:tab w:val="left" w:leader="none" w:pos="567"/>
        </w:tabs>
        <w:spacing w:after="120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7"/>
          <w:tab w:val="left" w:leader="none" w:pos="1359"/>
          <w:tab w:val="center" w:leader="none" w:pos="4537"/>
        </w:tabs>
        <w:spacing w:after="120" w:lineRule="auto"/>
        <w:rPr>
          <w:b w:val="0"/>
          <w:bCs w:val="0"/>
          <w:color w:val="000000"/>
          <w:sz w:val="26"/>
          <w:szCs w:val="26"/>
          <w:vertAlign w:val="baseline"/>
        </w:rPr>
        <w:sectPr>
          <w:headerReference r:id="rId7" w:type="default"/>
          <w:pgSz w:h="16834" w:w="11909" w:orient="portrait"/>
          <w:pgMar w:bottom="1134" w:top="1134" w:left="1701" w:right="1134" w:header="567" w:footer="567"/>
          <w:pgNumType w:start="1"/>
        </w:sect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7"/>
          <w:tab w:val="left" w:leader="none" w:pos="1359"/>
          <w:tab w:val="center" w:leader="none" w:pos="4537"/>
        </w:tabs>
        <w:spacing w:after="120" w:lineRule="auto"/>
        <w:jc w:val="center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NỘI DUNG VÀ CHUẨN MỰC ĐƯỢC ĐÁNH GIÁ CỦA HỆ THỐNG</w:t>
      </w:r>
      <w:r w:rsidDel="00000000" w:rsidR="00000000" w:rsidRPr="00000000">
        <w:rPr>
          <w:rtl w:val="0"/>
        </w:rPr>
      </w:r>
    </w:p>
    <w:tbl>
      <w:tblPr>
        <w:tblStyle w:val="Table3"/>
        <w:tblW w:w="1317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"/>
        <w:gridCol w:w="1424"/>
        <w:gridCol w:w="5245"/>
        <w:gridCol w:w="2058"/>
        <w:gridCol w:w="968"/>
        <w:gridCol w:w="792"/>
        <w:gridCol w:w="791"/>
        <w:gridCol w:w="1040"/>
        <w:tblGridChange w:id="0">
          <w:tblGrid>
            <w:gridCol w:w="859"/>
            <w:gridCol w:w="1424"/>
            <w:gridCol w:w="5245"/>
            <w:gridCol w:w="2058"/>
            <w:gridCol w:w="968"/>
            <w:gridCol w:w="792"/>
            <w:gridCol w:w="791"/>
            <w:gridCol w:w="1040"/>
          </w:tblGrid>
        </w:tblGridChange>
      </w:tblGrid>
      <w:tr>
        <w:trPr>
          <w:cantSplit w:val="1"/>
          <w:trHeight w:val="850" w:hRule="atLeast"/>
          <w:tblHeader w:val="1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Chuẩn mực đánh giá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Nội dung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Mô tả phát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Không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Số điều không phù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Số khuyến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1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Mục tiêu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RIBE/MTCL/8.2.2: Mục tiêu chất lượng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RIBE/KHMTCL/8.2.2: Kế hoạch thực hiệm mục tiêu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Quyền hạn – trách nhiệm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RIBE/QĐ/4.2: Quyền hạn – trách nhiệm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Yêu cầu chung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Khách quan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4.1: Tính khách quan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THKSTKQ.01: Hướng dẫn kiểm soát tính khách quan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4.1/01: Phiếu đề xuất kiểm soát rủi ro. 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4.2/02: Phân tích rủi ro ảnh hưởng đến tích khách quan.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4.1/03: Sổ theo dõi kiểm soát tính khách quan.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Bảo mật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4.2: Quy trình bảo mật thông tin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RIBE/CSBM/4.2: Chính sách bảo mật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4.2.01. Cam kết bảo mật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Yêu cầu về cơ cấu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5.2. Cơ cấu PTN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5.3. Phạm vi hoạt động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5.5. Cơ cấu tổ chức Viện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6.2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Nhân sự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Danh sách nhân sự của Viện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RIBE/QT/6.2: Quy trình quản lý nhân sự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ĐCTS/01: Hướng dẫn viết đề cương tập sự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6.2/01: Nhu cầu nhân sự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6.2/02: Nhu cầu đào tạo.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6.2/03: Phiếu đề xuất đào tạo.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6.2/04: Kế hoạch tuyển dụng và đào tạo.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6.2/05: Thông báo tuyển dụng nhân sự.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6.2/06: Đánh giá kết quả đào tạo.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6.2/07: Đề cương tập sự.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6.2/08: Phiếu theo dõi nhân sự.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6.2/09: Bảng mô tả công việc.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6.2/10: Trao quyền nhân sự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6.3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Cơ sở vật chất và điều hiện môi trường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RIBE/QT/6.3: Kiểm soát cơ sở vật chất và điều kiện môi trường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6.3/01: Sổ theo dõi cơ sở vật chất và điều kiện môi trường.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6.3/02: Danh mục yếu tố môi trường cần kiểm soát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Sơ đồ PTN (cập nhật mới)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6.4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Thiết bị, hóa chất, chất chuẩn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RIBE/QT/6.4: Kiểm soát thiết bị, hóa chất, chất chuẩn</w:t>
            </w:r>
          </w:p>
          <w:p w:rsidR="00000000" w:rsidDel="00000000" w:rsidP="00000000" w:rsidRDefault="00000000" w:rsidRPr="00000000" w14:paraId="00000085">
            <w:pPr>
              <w:rPr>
                <w:b w:val="0"/>
                <w:bCs w:val="0"/>
                <w:sz w:val="26"/>
                <w:szCs w:val="2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vertAlign w:val="baseline"/>
                <w:rtl w:val="0"/>
              </w:rPr>
              <w:t xml:space="preserve">Phần thiết bị: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6.4/01: Danh sách thiết bị.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6.4/02: Sổ sử dụng thiết bị.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6.4/03: Kế hoạch hiệu chuẩn, kiểm tra, bảo trì thiết bị.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6.4/03/01: Đánh giá thiết bị sau hiệu chuẩn, kiểm tra, bảo trì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6.4/03/02: Danh sách phân công nhân viên theo dõi thiết bị sau hiệu chuẩn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6.4/04: Phiếu theo dõi thiết bị.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TB/…/01: Hướng dẫn vận hành thiết bị.</w:t>
            </w:r>
          </w:p>
          <w:p w:rsidR="00000000" w:rsidDel="00000000" w:rsidP="00000000" w:rsidRDefault="00000000" w:rsidRPr="00000000" w14:paraId="0000008D">
            <w:pPr>
              <w:rPr>
                <w:b w:val="0"/>
                <w:bCs w:val="0"/>
                <w:sz w:val="26"/>
                <w:szCs w:val="26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vertAlign w:val="baseline"/>
                <w:rtl w:val="0"/>
              </w:rPr>
              <w:t xml:space="preserve">Phần hoá chất: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6.4/05: Danh mục hóa chất.  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6.4/06: Sổ theo dõi sử dụng hoá chất, chất chuẩn.</w:t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6.4/07: Danh mục chất chuẩn.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6.4/08: Sổ theo dõi pha chế hoá chất, chất chuẩn.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1"/>
              </w:numPr>
              <w:ind w:left="567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6.4/09: Phiếu nhập hóa chất, chất chuẩn.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6.6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Sản phẩm và dịch vụ do bên ngoài cung cấp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RIBE/QT/6.6: Đánh giá sản phẩm và dịch vụ do bên ngoài cung cấp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6.6/01: Danh sách nhà cung cấp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6.6/02: Phiếu theo dõi nhà cung cấp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6.6/03: Phiếu đề nghị mua hàng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6.6/04: Biên bản kiểm tra, bàn giao và nghiệm thu thiết bị/ dụng cụ…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6.6/05: Sổ kiểm tra hoá chất, chất chuẩn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6.6/06: Bảng tiêu chuẩn đánh giá nhà cung cấp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6.6/07: Phiếu đánh giá nhà cung cấp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6.6/08: Danh sách các nhà thầu phụ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6.6/09: Sổ theo dõi nhà thầu phụ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6.6/10: Phiếu thông tin PTN/nhà thầu phụ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6.6/11: Phiếu đánh giá PTN/nhà thầu phụ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ĐGNCC/01: Kết quả đánh giá nhà cung cấp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ĐGNCC/01: Hướng dẫn đánh giá nhà cung cấp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Xem xét yêu cầu, đề nghị thầu và hợp đồng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RIBE/QT/7.1: Xem xét yêu cầu, đề nghị, hợp đồng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7.1/01: Phiếu nhận thử nghiệm.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7.1/02: Phiếu chuyển mẫu thử nghiệm.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7.1/03: Năng lực thử nghiệm.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7.1/04: Sổ theo dõi báo giá.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8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RIBE/HD/7.1: Hướng dẫn dịch vụ Test.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Lựa chọn, kiểm tra xác nhận và xác nhận giá trị sử dụng của phương pháp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RIBE/QT/7.2: Quy trình xác nhận giá trị sử dụng của phương pháp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7.2/01: Kế hoạch xác nhận giá trị sử dụng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7.2/02: Đánh giá điều kiện cơ bản của phương pháp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7.2/03: Quyết định áp dụng phương pháp thử 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7.2/04: Ước lượng độ không đảm bảo đo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7.2/05: Xác định độ đúng – độ chụm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7.2/06: Xác định LOD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PP/ĐKĐBĐ/01: Hướng dẫn ước tính độ không đảm bảo đo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PP/GTSDCPPT/01: Hướng dẫn xác định giá trị sử dụng của phương pháp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PP/SSLP/01: Hướng dẫn chuẩn bị mẫu, so sánh nội bộ, so sánh liên phòng và đánh gí kết quả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Lấy mẫu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numPr>
                <w:ilvl w:val="0"/>
                <w:numId w:val="13"/>
              </w:numPr>
              <w:ind w:left="360" w:hanging="360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7.3: Quy trình lấy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Xử lý đối tượng thử nghiệm hoặc hiệu chuẩn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RIBE/QT/7.4: Quy trình xử lý đối tượng thử nghiệm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7.4/01: Sổ nhận mẫu 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7.4/02: Sổ lưu mẫu và thanh lý mẫu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9"/>
              </w:numPr>
              <w:ind w:left="360" w:hanging="360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7.4/03: Biên bản hủy mẫu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9"/>
              </w:numPr>
              <w:ind w:left="360" w:hanging="360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Hướng dẫn mã hóa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Hồ sơ kỹ thuật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RIBE/QT/7.5: Quy trình hồ sơ kỹ thuật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PP/…/01: Quan trắc gốc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PP/…/01: Hướng dẫn phương pháp thử nghiệm.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Đánh giá độ không đảm bảo đo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RIBE/QT/7.6: Quy trình xác định độ không đảm bảo đo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PP/ĐKĐBĐ/01: Hướng dẫn ước tính độ không đảm bảo đo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Đảm bảo giá trị sử dụng của kết quả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RIBE/QT/7.7: Quy trình đảm bảo chất lượng, kết quả thử nghiệm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PP/BĐKS/01: Hướng dẫn xây dựng biểu đồ kiểm soát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7.7/01: Kế hoạch đảm bảo chất lượng kết quả thử nghiệm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7.7/02: Yêu cầu kỹ thuật của các phép thử.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7.7/03: Báo cáo đánh giá kết quả chương trình đảm bảo chất lượng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RIBE/BM/7.7/04: Báo cáo kết quả liên phòng.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RIBE/BM/7.7/05: Kiểm tra tay nghề.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Báo cáo kết quả thử nghiệm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RIBE/QT/7.8: Quy trình báo cáo kết quả thử nghiệm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RIBE/HD HC/QTRQD/01: Hướng dẫn quy tắc ra quyết định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7.8/01: Phiếu trả kết quả thử nghiệm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7.8/02: Bảng phân công thực hiện phép thử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7.8/03: Sổ theo dõi trả kết quả thử nghiệm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9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7.8/04: Sổ theo dõi sửa đổi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Khiếu nại/ Giải quyết phàn nàn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RIBE/QT/7.9: Quy trình giải quyết phàn nàn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7.9/01: Sổ tiếp nhận và giải quyết khiếu nại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7.9/02: Phiếu giải quyết khiếu nại khách hàng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7.9/03: Phiếu thu thập ý kiến khách hàng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7.9/04: Bảng tổng hợp ý kiến khách hàng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Công việc không phù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RIBE/QT/7.10: Quy trình kiểm soát công việc thử nghiệm không phù hợp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7.10/01: Sổ theo dõi công việc không phù hợp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7.10/02: Báo cáo sự không phù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7.11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Kiểm soát dữ liệu – Quản lý thông 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2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7.11: Kiểm soát dữ liệu và quản lý thông tin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Sổ tay chất lượng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10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8.2. Sổ tay chất lượng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Kiểm soát tài liệu hệ thống quản lý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 8.3: Quy trình kiểm soát tài liệu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8.3/01: Danh mục tài liệu kiểm soát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8.3/02: Phiếu đề nghị soạn thảo/sửa đổi tài liệu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8.3/03: Phiếu giao nhận tài liệu 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8.3/04: Phiếu hủy tài liệu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8.3/05: Danh  sách hồ sơ, dữ liệu đã thay đổi/ bổ sung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Kiểm soát hồ sơ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RIBE/QT/8.4: Quy trình kiểm soát hồ sơ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8.4/01: Danh sách các loại hồ sơ, dữ liệu và phân cấp quản lý 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8.4/02: Biên bản hủy hồ sơ.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8.4/03: Danh mục hồ sơ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Hành động giải quyết rủi ro và cơ hội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RIBE/QT/8.5: Quy trình giải quyết rủi ro và cơ hội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8.5/01: Phiếu yêu cầu thực hiện hành động giải quyết rủi ro và cơ hội.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8.5/02: Sổ theo dõi hành động giải quyết rủi ro và cơ hội.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Cải tiến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RIBE/QT/8.6: Quy trình cải tiến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8.6/01: Phiếu yêu cầu thực hiện hành động cải tiến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8.6/02: Sổ theo dõi cải tiến.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Hành động khắc phục – phòng ngừa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RIBE/QT/8.7: Quy trình hành động khắc phục, phòng ngừa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8.7/01: Phiếu yêu cầu thực hiện hành động khắc phục, phòng ngừa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8.7/02: Sổ theo dõi hành động khắc phục/ phòng ngừa.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Đánh giá nội bộ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RIBE/QT/8.8: Quy trình đánh giá nội bộ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8.8/01: Kế hoạch đánh giá nội bộ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8.8/02: Chương trình đánh giá nội bộ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8.8/03: Báo cáo phát hiện trong quá trình đánh giá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5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8.8/04: Kết luận đánh giá nội bộ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8.9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Xem xét của lãnh đạo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RIBE/QT/8.9: Quy trình xem xét của lãnh đạo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8.9/01: Chương trình xem xét của lãnh đạo.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RIBE/BM 8.9/02: Biên bản xem xét của lãnh đạo.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Báo cáo quản lý chất lượng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6"/>
              </w:numPr>
              <w:ind w:left="360" w:hanging="36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Báo cáo quản lý kỹ thuật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Tổng: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985"/>
          <w:tab w:val="center" w:leader="none" w:pos="7088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212.0" w:type="dxa"/>
        <w:jc w:val="center"/>
        <w:tblLayout w:type="fixed"/>
        <w:tblLook w:val="0000"/>
      </w:tblPr>
      <w:tblGrid>
        <w:gridCol w:w="7567"/>
        <w:gridCol w:w="4645"/>
        <w:tblGridChange w:id="0">
          <w:tblGrid>
            <w:gridCol w:w="7567"/>
            <w:gridCol w:w="46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Xác nhận của người đánh giá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85"/>
                <w:tab w:val="center" w:leader="none" w:pos="7088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Đại diện Bộ phận được đánh giá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985"/>
          <w:tab w:val="center" w:leader="none" w:pos="7088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701" w:top="1134" w:left="1134" w:right="1134" w:header="567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5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49"/>
      <w:gridCol w:w="5286"/>
      <w:gridCol w:w="2321"/>
      <w:tblGridChange w:id="0">
        <w:tblGrid>
          <w:gridCol w:w="1749"/>
          <w:gridCol w:w="5286"/>
          <w:gridCol w:w="2321"/>
        </w:tblGrid>
      </w:tblGridChange>
    </w:tblGrid>
    <w:tr>
      <w:trPr>
        <w:cantSplit w:val="1"/>
        <w:trHeight w:val="29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971550" cy="45847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458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F">
          <w:pPr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vertAlign w:val="baseline"/>
              <w:rtl w:val="0"/>
            </w:rPr>
            <w:t xml:space="preserve">BÁO CÁO NHỮNG PHÁT HIỆN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0">
          <w:pPr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vertAlign w:val="baseline"/>
              <w:rtl w:val="0"/>
            </w:rPr>
            <w:t xml:space="preserve">TRONG QUÁ TRÌNH ĐÁNH GIÁ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1">
          <w:pPr>
            <w:spacing w:before="80" w:lineRule="auto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Mã số: RIBE/BM 8.8/03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4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Lần ban hành: 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7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Ngày ban hành: 01/02/2023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9A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Số trang: </w:t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3.%1."/>
      <w:lvlJc w:val="left"/>
      <w:pPr>
        <w:ind w:left="0" w:firstLine="0"/>
      </w:pPr>
      <w:rPr>
        <w:b w:val="1"/>
        <w:bCs w:val="1"/>
        <w:i w:val="0"/>
        <w:iCs w:val="0"/>
        <w:sz w:val="26"/>
        <w:szCs w:val="26"/>
        <w:vertAlign w:val="baseline"/>
      </w:rPr>
    </w:lvl>
    <w:lvl w:ilvl="1">
      <w:start w:val="1"/>
      <w:numFmt w:val="bullet"/>
      <w:lvlText w:val="−"/>
      <w:lvlJc w:val="left"/>
      <w:pPr>
        <w:ind w:left="567" w:firstLine="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5"/>
      <w:numFmt w:val="bullet"/>
      <w:lvlText w:val="−"/>
      <w:lvlJc w:val="left"/>
      <w:pPr>
        <w:ind w:left="36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5"/>
      <w:numFmt w:val="bullet"/>
      <w:lvlText w:val="−"/>
      <w:lvlJc w:val="left"/>
      <w:pPr>
        <w:ind w:left="36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000000"/>
        <w:sz w:val="26"/>
        <w:szCs w:val="2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30"/>
      <w:szCs w:val="30"/>
      <w:vertAlign w:val="baseline"/>
    </w:rPr>
  </w:style>
  <w:style w:type="paragraph" w:styleId="Heading3">
    <w:name w:val="heading 3"/>
    <w:basedOn w:val="Normal"/>
    <w:next w:val="Normal"/>
    <w:pPr>
      <w:keepNext w:val="1"/>
      <w:spacing w:before="120" w:lineRule="auto"/>
      <w:jc w:val="center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7200"/>
      </w:tabs>
      <w:spacing w:before="240" w:line="480" w:lineRule="auto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2T/01GRJWoLi7cXzrWkN9swbQ==">CgMxLjA4AHIhMUZOZjk1TUp1ZkxfRm5FdWlydEFJOWJQYXBqeUtYODR0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