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DỰ THẢO DANH MỤC QUY TRÌNH ÁP DỤNG</w:t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6"/>
        <w:gridCol w:w="5291"/>
        <w:gridCol w:w="2979"/>
        <w:tblGridChange w:id="0">
          <w:tblGrid>
            <w:gridCol w:w="746"/>
            <w:gridCol w:w="5291"/>
            <w:gridCol w:w="297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spacing w:after="120" w:before="12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STT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3">
            <w:pPr>
              <w:spacing w:after="120" w:before="12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TÊN QUY TRÌNH/TÀI LIỆU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spacing w:after="120" w:before="12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KÝ MÃ HIỆU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6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Quyết định thành lập Ban ISO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/QĐ-MTL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Quyết định phạm vi áp dụng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A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/QĐ-MTL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Chính sách chất lượng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D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MTL-CSCL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Sơ đồ tổ chức công ty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MTL-SĐTC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Thiết lập mục tiêu chất lượng tại phòng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MTL-01-MTCL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Sổ tay chất lượng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6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MTL-STCL</w:t>
            </w:r>
          </w:p>
        </w:tc>
      </w:tr>
      <w:tr>
        <w:trPr>
          <w:cantSplit w:val="0"/>
          <w:trHeight w:val="426.9726562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Kiểm soát thông tin dạng văn bản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MTL-02-TTVB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Quản lý rủi 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MTL-03-QLRR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Đánh giá nội bộ và Họp xem xét lãnh đạo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MTL-04-ĐGNB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Kiểm soát sự không phù hợp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MTL-05-KSNC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Tuyển dụng và đào tạo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MTL-06-TD&amp;ĐT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Làm hàng nhập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MTL-07-LHN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Làm hàng xuất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MTL-08-LHX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C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Làm Thủ tục Hải quan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MTL-09-TTHQ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Giao nhận hàng hóa giữa MTL và Khách hàng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MTL-10-GNHH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Đánh giá nhà cung cấp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MTL-11-ĐGNCC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Quy trình Xử lý khiếu nại khách hàng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MTL-12-KNKH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spacing w:after="120" w:before="120" w:lineRule="auto"/>
              <w:rPr>
                <w:sz w:val="28"/>
                <w:szCs w:val="28"/>
              </w:rPr>
            </w:pPr>
            <w:bookmarkStart w:colFirst="0" w:colLast="0" w:name="_heading=h.hdcttgfxdxzd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Quyết định ban hành và áp dụng tài liệu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/QĐ-MTL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spacing w:after="120" w:before="120" w:lineRule="auto"/>
              <w:ind w:left="720" w:hanging="36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spacing w:after="120" w:before="12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Tài liệu chuyên gia đánh giá nội bộ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MTL-AUDITOR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vvouAngR5sZ/Mte/FquIIa+Yw==">CgMxLjAyDmguaGRjdHRnZnhkeHpkOAByITFhOHBaak1KV2VCN2k1UkxXMlJXWEJwTnFBWXBHbTdmcA==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