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rPr>
          <w:b/>
        </w:rPr>
        <w:t xml:space="preserve">AGENDA BUỔI WORKSHOP KHẢO SÁT NGHIỆP VỤ</w:t>
      </w:r>
    </w:p>
    <w:p>
      <w:pPr>
        <w:pStyle w:val="Subtitle"/>
        <w:jc w:val="center"/>
      </w:pPr>
      <w:r>
        <w:rPr>
          <w:b/>
        </w:rPr>
        <w:t xml:space="preserve">BỘ PHẬN PRICING — MTL LOGISTICS</w:t>
      </w:r>
    </w:p>
    <w:p>
      <w:r>
        <w:t xml:space="preserve"/>
      </w:r>
    </w:p>
    <w:p>
      <w:r>
        <w:rPr>
          <w:b/>
        </w:rPr>
        <w:t xml:space="preserve">Ngày: </w:t>
      </w:r>
      <w:r>
        <w:t xml:space="preserve">12/05/2026</w:t>
      </w:r>
    </w:p>
    <w:p>
      <w:r>
        <w:rPr>
          <w:b/>
        </w:rPr>
        <w:t xml:space="preserve">Thời gian: </w:t>
      </w:r>
      <w:r>
        <w:t xml:space="preserve">10h00</w:t>
      </w:r>
    </w:p>
    <w:p>
      <w:r>
        <w:rPr>
          <w:b/>
        </w:rPr>
        <w:t xml:space="preserve">Địa điểm: </w:t>
      </w:r>
      <w:r>
        <w:t xml:space="preserve">Văn phòng MTL Logistics</w:t>
      </w:r>
    </w:p>
    <w:p>
      <w:r>
        <w:t xml:space="preserve"/>
      </w:r>
    </w:p>
    <w:p>
      <w:r>
        <w:rPr>
          <w:b/>
        </w:rPr>
        <w:t xml:space="preserve">Thành phần tham dự (phía MTL): </w:t>
      </w:r>
      <w:r>
        <w:t xml:space="preserve">Các anh/chị đại diện bộ phận Pricing và các bộ phận phối hợp liên quan</w:t>
      </w:r>
    </w:p>
    <w:p>
      <w:r>
        <w:rPr>
          <w:b/>
        </w:rPr>
        <w:t xml:space="preserve">Thành phần tham dự (phía BBSW): </w:t>
      </w:r>
      <w:r>
        <w:t xml:space="preserve">Phương Thảo (BA dự án), Kỳ Trần, Tấn Lực</w:t>
      </w:r>
    </w:p>
    <w:p>
      <w:r>
        <w:t xml:space="preserve"/>
      </w:r>
    </w:p>
    <w:p>
      <w:pPr>
        <w:pStyle w:val="Heading1"/>
      </w:pPr>
      <w:r>
        <w:rPr>
          <w:b/>
        </w:rPr>
        <w:t xml:space="preserve">MỤC ĐÍCH BUỔI LÀM VIỆC</w:t>
      </w:r>
    </w:p>
    <w:p>
      <w:r>
        <w:t xml:space="preserve">Khảo sát chi tiết nghiệp vụ Phòng Pricing, làm rõ quy trình tiếp nhận yêu cầu check giá, tra cứu giá từ carrier/đại lý/co-loader, quản lý bảng giá, phụ phí và hiệu lực giá trong hệ thống chuyển đổi số MTL Logistics; đảm bảo hệ thống phản ánh đúng quy trình thực tế và giải quyết đúng pain point của đội ngũ Pricing.</w:t>
      </w:r>
    </w:p>
    <w:p>
      <w:r>
        <w:t xml:space="preserve"/>
      </w:r>
    </w:p>
    <w:p>
      <w:pPr>
        <w:pStyle w:val="Heading1"/>
      </w:pPr>
      <w:r>
        <w:rPr>
          <w:b/>
        </w:rPr>
        <w:t xml:space="preserve">NỘI DUNG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900" w:type="dxa"/>
            <w:vAlign w:val="center"/>
          </w:tcPr>
          <w:p>
            <w:r>
              <w:rPr>
                <w:b/>
              </w:rPr>
              <w:t xml:space="preserve">STT</w:t>
            </w:r>
          </w:p>
        </w:tc>
        <w:tc>
          <w:tcPr>
            <w:tcW w:w="7200" w:type="dxa"/>
            <w:vAlign w:val="center"/>
          </w:tcPr>
          <w:p>
            <w:r>
              <w:rPr>
                <w:b/>
              </w:rPr>
              <w:t xml:space="preserve">Nội dung</w:t>
            </w:r>
          </w:p>
        </w:tc>
        <w:tc>
          <w:tcPr>
            <w:tcW w:w="1800" w:type="dxa"/>
            <w:vAlign w:val="center"/>
          </w:tcPr>
          <w:p>
            <w:r>
              <w:rPr>
                <w:b/>
              </w:rPr>
              <w:t xml:space="preserve">Người trình bày</w:t>
            </w:r>
          </w:p>
        </w:tc>
      </w:tr>
      <w:tr>
        <w:tc>
          <w:tcPr>
            <w:tcW w:w="900" w:type="dxa"/>
            <w:vAlign w:val="center"/>
          </w:tcPr>
          <w:p>
            <w:r>
              <w:t xml:space="preserve">1</w:t>
            </w:r>
          </w:p>
        </w:tc>
        <w:tc>
          <w:tcPr>
            <w:tcW w:w="7200" w:type="dxa"/>
            <w:vAlign w:val="center"/>
          </w:tcPr>
          <w:p>
            <w:r>
              <w:t xml:space="preserve">Giới thiệu thành phần, mục tiêu buổi làm việc</w:t>
            </w:r>
          </w:p>
        </w:tc>
        <w:tc>
          <w:tcPr>
            <w:tcW w:w="1800" w:type="dxa"/>
            <w:vAlign w:val="center"/>
          </w:tcPr>
          <w:p>
            <w:r>
              <w:t xml:space="preserve">BBSW</w:t>
            </w:r>
          </w:p>
        </w:tc>
      </w:tr>
      <w:tr>
        <w:tc>
          <w:tcPr>
            <w:tcW w:w="900" w:type="dxa"/>
            <w:vAlign w:val="center"/>
          </w:tcPr>
          <w:p>
            <w:r>
              <w:t xml:space="preserve">2</w:t>
            </w:r>
          </w:p>
        </w:tc>
        <w:tc>
          <w:tcPr>
            <w:tcW w:w="7200" w:type="dxa"/>
            <w:vAlign w:val="center"/>
          </w:tcPr>
          <w:p>
            <w:r>
              <w:t xml:space="preserve">Nghiệp vụ 1: Quy trình tiếp nhận yêu cầu check giá — nguồn yêu cầu, thông tin đầu vào bắt buộc, cách phân loại yêu cầu theo tuyến/dịch vụ</w:t>
            </w:r>
          </w:p>
        </w:tc>
        <w:tc>
          <w:tcPr>
            <w:tcW w:w="1800" w:type="dxa"/>
            <w:vAlign w:val="center"/>
          </w:tcPr>
          <w:p>
            <w:r>
              <w:t xml:space="preserve">MTL</w:t>
            </w:r>
          </w:p>
        </w:tc>
      </w:tr>
      <w:tr>
        <w:tc>
          <w:tcPr>
            <w:tcW w:w="900" w:type="dxa"/>
            <w:vAlign w:val="center"/>
          </w:tcPr>
          <w:p>
            <w:r>
              <w:t xml:space="preserve">3</w:t>
            </w:r>
          </w:p>
        </w:tc>
        <w:tc>
          <w:tcPr>
            <w:tcW w:w="7200" w:type="dxa"/>
            <w:vAlign w:val="center"/>
          </w:tcPr>
          <w:p>
            <w:r>
              <w:t xml:space="preserve">Nghiệp vụ 2: Quy trình tìm kiếm và check giá từ carrier/đại lý/co-loader — cách hỏi giá, nhận giá, so sánh giá và chọn phương án phù hợp</w:t>
            </w:r>
          </w:p>
        </w:tc>
        <w:tc>
          <w:tcPr>
            <w:tcW w:w="1800" w:type="dxa"/>
            <w:vAlign w:val="center"/>
          </w:tcPr>
          <w:p>
            <w:r>
              <w:t xml:space="preserve">MTL</w:t>
            </w:r>
          </w:p>
        </w:tc>
      </w:tr>
      <w:tr>
        <w:tc>
          <w:tcPr>
            <w:tcW w:w="900" w:type="dxa"/>
            <w:vAlign w:val="center"/>
          </w:tcPr>
          <w:p>
            <w:r>
              <w:t xml:space="preserve">4</w:t>
            </w:r>
          </w:p>
        </w:tc>
        <w:tc>
          <w:tcPr>
            <w:tcW w:w="7200" w:type="dxa"/>
            <w:vAlign w:val="center"/>
          </w:tcPr>
          <w:p>
            <w:r>
              <w:t xml:space="preserve">Nghiệp vụ 3: Quy trình quản lý bảng giá — freight charge, local charge, service charge, trucking/customs, surcharge, commission, hiệu lực giá và điều kiện áp dụng</w:t>
            </w:r>
          </w:p>
        </w:tc>
        <w:tc>
          <w:tcPr>
            <w:tcW w:w="1800" w:type="dxa"/>
            <w:vAlign w:val="center"/>
          </w:tcPr>
          <w:p>
            <w:r>
              <w:t xml:space="preserve">MTL</w:t>
            </w:r>
          </w:p>
        </w:tc>
      </w:tr>
      <w:tr>
        <w:tc>
          <w:tcPr>
            <w:tcW w:w="900" w:type="dxa"/>
            <w:vAlign w:val="center"/>
          </w:tcPr>
          <w:p>
            <w:r>
              <w:t xml:space="preserve">5</w:t>
            </w:r>
          </w:p>
        </w:tc>
        <w:tc>
          <w:tcPr>
            <w:tcW w:w="7200" w:type="dxa"/>
            <w:vAlign w:val="center"/>
          </w:tcPr>
          <w:p>
            <w:r>
              <w:t xml:space="preserve">Nghiệp vụ 4: Quy trình phản hồi giá cho Sales/khách hàng — cấu trúc thông tin trả về, buying/selling, markup, VAT, profit, notes và điều kiện báo giá</w:t>
            </w:r>
          </w:p>
        </w:tc>
        <w:tc>
          <w:tcPr>
            <w:tcW w:w="1800" w:type="dxa"/>
            <w:vAlign w:val="center"/>
          </w:tcPr>
          <w:p>
            <w:r>
              <w:t xml:space="preserve">MTL</w:t>
            </w:r>
          </w:p>
        </w:tc>
      </w:tr>
      <w:tr>
        <w:tc>
          <w:tcPr>
            <w:tcW w:w="900" w:type="dxa"/>
            <w:vAlign w:val="center"/>
          </w:tcPr>
          <w:p>
            <w:r>
              <w:t xml:space="preserve">6</w:t>
            </w:r>
          </w:p>
        </w:tc>
        <w:tc>
          <w:tcPr>
            <w:tcW w:w="7200" w:type="dxa"/>
            <w:vAlign w:val="center"/>
          </w:tcPr>
          <w:p>
            <w:r>
              <w:t xml:space="preserve">Nghiệp vụ 5: Quy trình kiểm soát và cập nhật giá — giá hết hạn, thay đổi giá từ carrier/đại lý, cảnh báo sai giá/sai VAT/sai đơn vị tính, phân quyền xem và sửa giá</w:t>
            </w:r>
          </w:p>
        </w:tc>
        <w:tc>
          <w:tcPr>
            <w:tcW w:w="1800" w:type="dxa"/>
            <w:vAlign w:val="center"/>
          </w:tcPr>
          <w:p>
            <w:r>
              <w:t xml:space="preserve">MTL</w:t>
            </w:r>
          </w:p>
        </w:tc>
      </w:tr>
      <w:tr>
        <w:tc>
          <w:tcPr>
            <w:tcW w:w="900" w:type="dxa"/>
            <w:vAlign w:val="center"/>
          </w:tcPr>
          <w:p>
            <w:r>
              <w:t xml:space="preserve">7</w:t>
            </w:r>
          </w:p>
        </w:tc>
        <w:tc>
          <w:tcPr>
            <w:tcW w:w="7200" w:type="dxa"/>
            <w:vAlign w:val="center"/>
          </w:tcPr>
          <w:p>
            <w:r>
              <w:t xml:space="preserve">Nghiệp vụ 6: Báo cáo và theo dõi hiệu quả Pricing — số lượng yêu cầu check giá, thời gian xử lý, tỷ lệ chọn carrier/đại lý, gross profit/margin theo tuyến/dịch vụ</w:t>
            </w:r>
          </w:p>
        </w:tc>
        <w:tc>
          <w:tcPr>
            <w:tcW w:w="1800" w:type="dxa"/>
            <w:vAlign w:val="center"/>
          </w:tcPr>
          <w:p>
            <w:r>
              <w:t xml:space="preserve">MTL</w:t>
            </w:r>
          </w:p>
        </w:tc>
      </w:tr>
      <w:tr>
        <w:tc>
          <w:tcPr>
            <w:tcW w:w="900" w:type="dxa"/>
            <w:vAlign w:val="center"/>
          </w:tcPr>
          <w:p>
            <w:r>
              <w:t xml:space="preserve">8</w:t>
            </w:r>
          </w:p>
        </w:tc>
        <w:tc>
          <w:tcPr>
            <w:tcW w:w="7200" w:type="dxa"/>
            <w:vAlign w:val="center"/>
          </w:tcPr>
          <w:p>
            <w:r>
              <w:t xml:space="preserve">Thảo luận, xác nhận các điểm cần làm rõ, thống nhất bước tiếp theo</w:t>
            </w:r>
          </w:p>
        </w:tc>
        <w:tc>
          <w:tcPr>
            <w:tcW w:w="1800" w:type="dxa"/>
            <w:vAlign w:val="center"/>
          </w:tcPr>
          <w:p>
            <w:r>
              <w:t xml:space="preserve">BBSW &amp; MTL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</w:rPr>
        <w:t xml:space="preserve">YÊU CẦU CHUẨN BỊ PHÍA MTL</w:t>
      </w:r>
    </w:p>
    <w:p>
      <w:r>
        <w:t xml:space="preserve">Để buổi làm việc đạt hiệu quả, BBSW kính đề nghị MTL chuẩn bị sẵn các tài liệu sau:</w:t>
      </w:r>
    </w:p>
    <w:p>
      <w:pPr>
        <w:numPr>
          <w:ilvl w:val="0"/>
          <w:numId w:val="1"/>
        </w:numPr>
      </w:pPr>
      <w:r>
        <w:t xml:space="preserve">File bảng giá carrier/đại lý/co-loader đang sử dụng thực tế.</w:t>
      </w:r>
    </w:p>
    <w:p>
      <w:pPr>
        <w:numPr>
          <w:ilvl w:val="0"/>
          <w:numId w:val="1"/>
        </w:numPr>
      </w:pPr>
      <w:r>
        <w:t xml:space="preserve">File báo giá mẫu hoặc email phản hồi giá mà Pricing đang gửi cho Sales/khách hàng.</w:t>
      </w:r>
    </w:p>
    <w:p>
      <w:pPr>
        <w:numPr>
          <w:ilvl w:val="0"/>
          <w:numId w:val="1"/>
        </w:numPr>
      </w:pPr>
      <w:r>
        <w:t xml:space="preserve">Danh sách các carrier/đại lý/co-loader thường xuyên hợp tác.</w:t>
      </w:r>
    </w:p>
    <w:p>
      <w:pPr>
        <w:numPr>
          <w:ilvl w:val="0"/>
          <w:numId w:val="1"/>
        </w:numPr>
      </w:pPr>
      <w:r>
        <w:t xml:space="preserve">Ví dụ 2-3 case check giá thực tế, bao gồm thông tin yêu cầu đầu vào, cách check giá và kết quả phản hồi.</w:t>
      </w:r>
    </w:p>
    <w:p>
      <w:pPr>
        <w:numPr>
          <w:ilvl w:val="0"/>
          <w:numId w:val="1"/>
        </w:numPr>
      </w:pPr>
      <w:r>
        <w:t xml:space="preserve">Danh sách các loại phí/phụ phí thường dùng: freight charge, local charge, service charge, trucking/customs, surcharge, commission.</w:t>
      </w:r>
    </w:p>
    <w:p>
      <w:pPr>
        <w:numPr>
          <w:ilvl w:val="0"/>
          <w:numId w:val="1"/>
        </w:numPr>
      </w:pPr>
      <w:r>
        <w:t xml:space="preserve">Quy định/ghi chú đặc biệt khi báo giá theo tuyến, quốc gia, cảng đến hoặc loại hàng, nếu có.</w:t>
      </w:r>
    </w:p>
    <w:sectPr>
      <w:pgSz w:w="11906" w:h="16838"/>
      <w:pgMar w:top="1440" w:right="1080" w:bottom="144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Arial"/>
      <w:sz w:val="22"/>
    </w:rPr>
  </w:style>
  <w:style w:type="paragraph" w:styleId="Title">
    <w:name w:val="Title"/>
    <w:basedOn w:val="Normal"/>
    <w:rPr>
      <w:b/>
      <w:sz w:val="32"/>
    </w:rPr>
  </w:style>
  <w:style w:type="paragraph" w:styleId="Subtitle">
    <w:name w:val="Subtitle"/>
    <w:basedOn w:val="Normal"/>
    <w:rPr>
      <w:b/>
      <w:sz w:val="26"/>
    </w:rPr>
  </w:style>
  <w:style w:type="paragraph" w:styleId="Heading1">
    <w:name w:val="heading 1"/>
    <w:basedOn w:val="Normal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