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34wxmuytbh2" w:id="0"/>
      <w:bookmarkEnd w:id="0"/>
      <w:r w:rsidDel="00000000" w:rsidR="00000000" w:rsidRPr="00000000">
        <w:rPr>
          <w:rtl w:val="0"/>
        </w:rPr>
        <w:t xml:space="preserve">Evaluation metrics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s16n749tklc" w:id="1"/>
      <w:bookmarkEnd w:id="1"/>
      <w:r w:rsidDel="00000000" w:rsidR="00000000" w:rsidRPr="00000000">
        <w:rPr>
          <w:rtl w:val="0"/>
        </w:rPr>
        <w:t xml:space="preserve">Statistical parity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“Fairness of Machine Learning,” part 2.1, Demographic Parity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Paper “A survey on datasets for fairness‐aware machine learning,” part 2.3.1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a5170mjkfgpk" w:id="2"/>
      <w:bookmarkEnd w:id="2"/>
      <w:r w:rsidDel="00000000" w:rsidR="00000000" w:rsidRPr="00000000">
        <w:rPr>
          <w:rtl w:val="0"/>
        </w:rPr>
        <w:t xml:space="preserve">Equalized odds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Paper “Fairness of Machine Learning,” part 2.2, Equal False Positive/Negative Rates (EFPRs/EFNRs)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Paper “A survey on datasets for fairness‐aware machine learning,” part 2.3.2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ygos9cci1c5d" w:id="3"/>
      <w:bookmarkEnd w:id="3"/>
      <w:r w:rsidDel="00000000" w:rsidR="00000000" w:rsidRPr="00000000">
        <w:rPr>
          <w:rtl w:val="0"/>
        </w:rPr>
        <w:t xml:space="preserve">Absolute Between-ROC Area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Paper “Fairness of Machine Learning,” part 2.2, Predictive Parity/Calibration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Paper “A survey on datasets for fairness‐aware machine learning,” part 2.3.2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Paper “Fair Clustering via Equitable Group Representations” 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iz5xuz42ni2b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y8szgimqw8xh" w:id="5"/>
      <w:bookmarkEnd w:id="5"/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egm1bmi8ix9" w:id="6"/>
      <w:bookmarkEnd w:id="6"/>
      <w:r w:rsidDel="00000000" w:rsidR="00000000" w:rsidRPr="00000000">
        <w:rPr>
          <w:rtl w:val="0"/>
        </w:rPr>
        <w:t xml:space="preserve">Fairness of Machine Learning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https://arxiv.org/pdf/2012.15816.pdf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Focus: Part 2.1, page 3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5qdqeisqaq5j" w:id="7"/>
      <w:bookmarkEnd w:id="7"/>
      <w:r w:rsidDel="00000000" w:rsidR="00000000" w:rsidRPr="00000000">
        <w:rPr>
          <w:rtl w:val="0"/>
        </w:rPr>
        <w:t xml:space="preserve">A survey on datasets for fairness‐aware machine learning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 survey on datasets for fairness‐aware machine learning - Le Quy - 2022 - WIREs Data Mining and Knowledge Discovery - Wiley Online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Focus: Part 2.3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yql8vhm95hjk" w:id="8"/>
      <w:bookmarkEnd w:id="8"/>
      <w:r w:rsidDel="00000000" w:rsidR="00000000" w:rsidRPr="00000000">
        <w:rPr>
          <w:rtl w:val="0"/>
        </w:rPr>
        <w:t xml:space="preserve">Fair Clustering via Equitable Group Representations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https://dl.acm.org/doi/pdf/10.1145/3442188.3445913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5xdrmrn8d544" w:id="9"/>
      <w:bookmarkEnd w:id="9"/>
      <w:r w:rsidDel="00000000" w:rsidR="00000000" w:rsidRPr="00000000">
        <w:rPr>
          <w:rtl w:val="0"/>
        </w:rPr>
        <w:t xml:space="preserve">Python Package documentation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skvuoaavul01" w:id="10"/>
      <w:bookmarkEnd w:id="10"/>
      <w:r w:rsidDel="00000000" w:rsidR="00000000" w:rsidRPr="00000000">
        <w:rPr>
          <w:rtl w:val="0"/>
        </w:rPr>
        <w:t xml:space="preserve">Fairlearn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Fairlearn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metrics: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Common fairness metrics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airlearn.org/main/user_guide/assessment/common_fairness_metrics.html" TargetMode="External"/><Relationship Id="rId9" Type="http://schemas.openxmlformats.org/officeDocument/2006/relationships/hyperlink" Target="https://fairlearn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2012.15816.pdf" TargetMode="External"/><Relationship Id="rId7" Type="http://schemas.openxmlformats.org/officeDocument/2006/relationships/hyperlink" Target="https://wires.onlinelibrary.wiley.com/doi/10.1002/widm.1452#widm1452-bib-0068" TargetMode="External"/><Relationship Id="rId8" Type="http://schemas.openxmlformats.org/officeDocument/2006/relationships/hyperlink" Target="https://dl.acm.org/doi/pdf/10.1145/3442188.34459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