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1D9397B2"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3EDEB0B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 xml:space="preserve">By providing an integrated methodology for modeling, testing, verifying, and </w:t>
      </w:r>
      <w:r w:rsidR="002E13E2">
        <w:rPr>
          <w:rFonts w:ascii="Times New Roman" w:eastAsia="Times New Roman" w:hAnsi="Times New Roman" w:cs="Times New Roman"/>
          <w:color w:val="000000"/>
          <w:sz w:val="21"/>
          <w:szCs w:val="21"/>
          <w:lang w:val="en-US"/>
        </w:rPr>
        <w:t xml:space="preserve">online </w:t>
      </w:r>
      <w:r w:rsidR="009647BB" w:rsidRPr="009647BB">
        <w:rPr>
          <w:rFonts w:ascii="Times New Roman" w:eastAsia="Times New Roman" w:hAnsi="Times New Roman" w:cs="Times New Roman"/>
          <w:color w:val="000000"/>
          <w:sz w:val="21"/>
          <w:szCs w:val="21"/>
          <w:lang w:val="en-US"/>
        </w:rPr>
        <w:t>monitoring</w:t>
      </w:r>
      <w:r w:rsidR="002E13E2">
        <w:rPr>
          <w:rFonts w:ascii="Times New Roman" w:eastAsia="Times New Roman" w:hAnsi="Times New Roman" w:cs="Times New Roman"/>
          <w:color w:val="000000"/>
          <w:sz w:val="21"/>
          <w:szCs w:val="21"/>
          <w:lang w:val="en-US"/>
        </w:rPr>
        <w:t xml:space="preserve"> and control for</w:t>
      </w:r>
      <w:r w:rsidR="009647BB" w:rsidRPr="009647BB">
        <w:rPr>
          <w:rFonts w:ascii="Times New Roman" w:eastAsia="Times New Roman" w:hAnsi="Times New Roman" w:cs="Times New Roman"/>
          <w:color w:val="000000"/>
          <w:sz w:val="21"/>
          <w:szCs w:val="21"/>
          <w:lang w:val="en-US"/>
        </w:rPr>
        <w:t xml:space="preserve">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4E65C0DF"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07DFE26B"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w:t>
      </w:r>
      <w:r w:rsidR="00B111A4" w:rsidRPr="00184CED">
        <w:rPr>
          <w:color w:val="000000"/>
          <w:sz w:val="21"/>
          <w:szCs w:val="21"/>
          <w:lang w:val="en-US"/>
        </w:rPr>
        <w:t xml:space="preserve">the </w:t>
      </w:r>
      <w:r w:rsidR="00B111A4">
        <w:rPr>
          <w:color w:val="000000"/>
          <w:sz w:val="21"/>
          <w:szCs w:val="21"/>
          <w:lang w:val="en-US"/>
        </w:rPr>
        <w:t xml:space="preserve">existing and the new </w:t>
      </w:r>
      <w:r w:rsidR="00B111A4">
        <w:rPr>
          <w:color w:val="000000"/>
          <w:sz w:val="21"/>
          <w:szCs w:val="21"/>
          <w:lang w:val="en-US"/>
        </w:rPr>
        <w:t xml:space="preserve">measures </w:t>
      </w:r>
      <w:bookmarkStart w:id="3" w:name="_GoBack"/>
      <w:bookmarkEnd w:id="3"/>
      <w:r w:rsidRPr="00184CED">
        <w:rPr>
          <w:color w:val="000000"/>
          <w:sz w:val="21"/>
          <w:szCs w:val="21"/>
          <w:lang w:val="en-US"/>
        </w:rPr>
        <w:t>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342D0DBE"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294590BC"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 xml:space="preserve">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46AC8E3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456C2D">
        <w:rPr>
          <w:b/>
          <w:i/>
          <w:sz w:val="21"/>
          <w:szCs w:val="21"/>
          <w:lang w:val="en-US"/>
        </w:rPr>
        <w:t xml:space="preserve"> </w:t>
      </w:r>
      <w:r w:rsidRPr="0005526C">
        <w:rPr>
          <w:sz w:val="21"/>
          <w:szCs w:val="21"/>
          <w:lang w:val="en-US"/>
        </w:rPr>
        <w:t xml:space="preserve">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5AAFBB32"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43260D0"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a formal behavior-based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lastRenderedPageBreak/>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4"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5"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6" w:name="_Hlk512365748"/>
      <w:bookmarkEnd w:id="5"/>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4"/>
    <w:bookmarkEnd w:id="6"/>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6BB8D90A"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Distance measures on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2D6B32EE"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Measuring sets of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lastRenderedPageBreak/>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r w:rsidR="00900966" w:rsidRPr="004A63DA">
        <w:rPr>
          <w:rFonts w:ascii="Times New Roman" w:hAnsi="Times New Roman" w:cs="Times New Roman"/>
          <w:color w:val="000000"/>
          <w:sz w:val="21"/>
          <w:szCs w:val="21"/>
          <w:lang w:val="en-US"/>
        </w:rPr>
        <w:lastRenderedPageBreak/>
        <w:t>(</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048DB20D"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behavior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16E36A06"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D672686" w14:textId="693D9AF3"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B6E45EC" w14:textId="507D734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7BC776E" w14:textId="143EB4D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AC7BF0" w14:textId="281B8C3E"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FE923" w14:textId="7FFFA98B"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E1844CB" w14:textId="77777777"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0FD9C12C"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w:t>
      </w:r>
      <w:proofErr w:type="spellStart"/>
      <w:r w:rsidRPr="004A63DA">
        <w:rPr>
          <w:color w:val="3C4043"/>
          <w:sz w:val="21"/>
          <w:szCs w:val="21"/>
          <w:lang w:val="en-US"/>
        </w:rPr>
        <w:t>protoype</w:t>
      </w:r>
      <w:proofErr w:type="spellEnd"/>
      <w:r w:rsidRPr="004A63DA">
        <w:rPr>
          <w:color w:val="3C4043"/>
          <w:sz w:val="21"/>
          <w:szCs w:val="21"/>
          <w:lang w:val="en-US"/>
        </w:rPr>
        <w:t xml:space="preserve"> which will be improved with the progress of other tasks and work packages. The second and third task are independent and will start once the first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t>
      </w:r>
      <w:r>
        <w:rPr>
          <w:color w:val="3C4043"/>
          <w:sz w:val="21"/>
          <w:szCs w:val="21"/>
          <w:lang w:val="en-US"/>
        </w:rPr>
        <w:lastRenderedPageBreak/>
        <w:t>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413C6A2" w:rsidR="00EA769D" w:rsidRDefault="00EA769D" w:rsidP="00A66CF5">
      <w:pPr>
        <w:rPr>
          <w:rFonts w:asciiTheme="majorHAnsi" w:hAnsiTheme="majorHAnsi" w:cstheme="majorHAnsi"/>
          <w:color w:val="000000" w:themeColor="text1"/>
          <w:sz w:val="21"/>
          <w:szCs w:val="20"/>
          <w:lang w:val="en-US"/>
        </w:rPr>
      </w:pPr>
    </w:p>
    <w:p w14:paraId="15B8191C" w14:textId="77777777" w:rsidR="00ED198E" w:rsidRDefault="00ED198E"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lastRenderedPageBreak/>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1F62B190" w14:textId="251215FD" w:rsidR="005B68A4" w:rsidRPr="005B68A4" w:rsidRDefault="005B68A4" w:rsidP="005B68A4">
      <w:pPr>
        <w:pStyle w:val="Heading2"/>
        <w:rPr>
          <w:b w:val="0"/>
          <w:color w:val="000000" w:themeColor="text1"/>
          <w:sz w:val="21"/>
          <w:lang w:val="en-US"/>
        </w:rPr>
      </w:pPr>
      <w:r w:rsidRPr="00FF5ADF">
        <w:rPr>
          <w:rFonts w:asciiTheme="majorHAnsi" w:hAnsiTheme="majorHAnsi" w:cstheme="majorHAnsi"/>
          <w:color w:val="000000" w:themeColor="text1"/>
          <w:lang w:val="en-US"/>
        </w:rPr>
        <w:t>Note</w:t>
      </w:r>
      <w:r>
        <w:rPr>
          <w:rFonts w:asciiTheme="majorHAnsi" w:hAnsiTheme="majorHAnsi" w:cstheme="majorHAnsi"/>
          <w:b w:val="0"/>
          <w:color w:val="000000" w:themeColor="text1"/>
          <w:lang w:val="en-US"/>
        </w:rPr>
        <w:t xml:space="preserve"> </w:t>
      </w:r>
      <w:proofErr w:type="gramStart"/>
      <w:r>
        <w:rPr>
          <w:b w:val="0"/>
          <w:color w:val="000000" w:themeColor="text1"/>
          <w:sz w:val="21"/>
          <w:lang w:val="en-US"/>
        </w:rPr>
        <w:t>The</w:t>
      </w:r>
      <w:proofErr w:type="gramEnd"/>
      <w:r>
        <w:rPr>
          <w:b w:val="0"/>
          <w:color w:val="000000" w:themeColor="text1"/>
          <w:sz w:val="21"/>
          <w:lang w:val="en-US"/>
        </w:rPr>
        <w:t xml:space="preserve"> Research Director’s group will organize a workshop about the results of the projects and related topics. We plan to spend 10 k euros to invite two speakers and to cover organization fees. </w:t>
      </w:r>
      <w:proofErr w:type="spellStart"/>
      <w:r>
        <w:rPr>
          <w:b w:val="0"/>
          <w:color w:val="000000" w:themeColor="text1"/>
          <w:sz w:val="21"/>
          <w:lang w:val="en-US"/>
        </w:rPr>
        <w:t>Thhis</w:t>
      </w:r>
      <w:proofErr w:type="spellEnd"/>
      <w:r>
        <w:rPr>
          <w:b w:val="0"/>
          <w:color w:val="000000" w:themeColor="text1"/>
          <w:sz w:val="21"/>
          <w:lang w:val="en-US"/>
        </w:rPr>
        <w:t xml:space="preserve"> cost is reflected in the general costs. </w:t>
      </w:r>
    </w:p>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60969" w14:textId="77777777" w:rsidR="002A29D8" w:rsidRDefault="002A29D8" w:rsidP="009B4D06">
      <w:r>
        <w:separator/>
      </w:r>
    </w:p>
  </w:endnote>
  <w:endnote w:type="continuationSeparator" w:id="0">
    <w:p w14:paraId="51B0489A" w14:textId="77777777" w:rsidR="002A29D8" w:rsidRDefault="002A29D8"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C83E2" w14:textId="77777777" w:rsidR="002A29D8" w:rsidRDefault="002A29D8" w:rsidP="009B4D06">
      <w:r>
        <w:rPr>
          <w:rFonts w:hint="eastAsia"/>
        </w:rPr>
        <w:separator/>
      </w:r>
    </w:p>
  </w:footnote>
  <w:footnote w:type="continuationSeparator" w:id="0">
    <w:p w14:paraId="7375C5A0" w14:textId="77777777" w:rsidR="002A29D8" w:rsidRDefault="002A29D8"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5506"/>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29D8"/>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13E2"/>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68A4"/>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11A4"/>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069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F82"/>
    <w:rsid w:val="00EC0081"/>
    <w:rsid w:val="00EC0E26"/>
    <w:rsid w:val="00EC1E22"/>
    <w:rsid w:val="00EC2423"/>
    <w:rsid w:val="00EC2746"/>
    <w:rsid w:val="00EC3762"/>
    <w:rsid w:val="00EC4814"/>
    <w:rsid w:val="00EC511F"/>
    <w:rsid w:val="00EC55EF"/>
    <w:rsid w:val="00EC7F07"/>
    <w:rsid w:val="00ED198E"/>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36303-9A61-A742-9F4C-A9D8D0E6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16051</Words>
  <Characters>96470</Characters>
  <Application>Microsoft Office Word</Application>
  <DocSecurity>0</DocSecurity>
  <Lines>1252</Lines>
  <Paragraphs>283</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2019-05-03T04:34:00Z</dcterms:modified>
</cp:coreProperties>
</file>