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22F1" w14:textId="6C56BF00" w:rsidR="00E23BCE" w:rsidRDefault="00000000">
      <w:pPr>
        <w:spacing w:after="960"/>
        <w:jc w:val="center"/>
      </w:pPr>
      <w:r>
        <w:rPr>
          <w:b/>
          <w:color w:val="2A9D8F"/>
          <w:sz w:val="20"/>
        </w:rPr>
        <w:t>DATA ENGINEERING PORTFOLIO PROJECT</w:t>
      </w:r>
      <w:r w:rsidR="000E2EB1">
        <w:rPr>
          <w:b/>
          <w:color w:val="2A9D8F"/>
          <w:sz w:val="20"/>
        </w:rPr>
        <w:t xml:space="preserve"> – DANIEL HARIG</w:t>
      </w:r>
    </w:p>
    <w:p w14:paraId="245D51F4" w14:textId="77777777" w:rsidR="00E23BCE" w:rsidRDefault="00000000">
      <w:pPr>
        <w:spacing w:after="200"/>
        <w:jc w:val="center"/>
      </w:pPr>
      <w:r>
        <w:rPr>
          <w:b/>
          <w:color w:val="17365D"/>
          <w:sz w:val="58"/>
        </w:rPr>
        <w:t>Credit Risk</w:t>
      </w:r>
      <w:r>
        <w:rPr>
          <w:b/>
          <w:color w:val="17365D"/>
          <w:sz w:val="58"/>
        </w:rPr>
        <w:br/>
        <w:t>Data Pipeline</w:t>
      </w:r>
    </w:p>
    <w:p w14:paraId="2B1DCA08" w14:textId="77777777" w:rsidR="00E23BCE" w:rsidRDefault="00000000">
      <w:pPr>
        <w:spacing w:after="560"/>
        <w:jc w:val="center"/>
      </w:pPr>
      <w:r>
        <w:rPr>
          <w:color w:val="2E75B6"/>
          <w:sz w:val="28"/>
        </w:rPr>
        <w:t>An end-to-end Bronze → Silver → Gold analytics workflow</w:t>
      </w:r>
    </w:p>
    <w:p w14:paraId="30DC6292" w14:textId="77777777" w:rsidR="00E23BCE" w:rsidRDefault="00000000">
      <w:pPr>
        <w:spacing w:after="680"/>
        <w:jc w:val="center"/>
      </w:pPr>
      <w:r>
        <w:rPr>
          <w:color w:val="5B6573"/>
          <w:sz w:val="23"/>
        </w:rPr>
        <w:t>Containerized ingestion, Spark transformation, partitioned Parquet storage, Gold-layer aggregation, and executive reporting in Power BI.</w:t>
      </w:r>
    </w:p>
    <w:tbl>
      <w:tblPr>
        <w:tblW w:w="9360" w:type="dxa"/>
        <w:jc w:val="center"/>
        <w:tblLayout w:type="fixed"/>
        <w:tblLook w:val="04A0" w:firstRow="1" w:lastRow="0" w:firstColumn="1" w:lastColumn="0" w:noHBand="0" w:noVBand="1"/>
      </w:tblPr>
      <w:tblGrid>
        <w:gridCol w:w="3120"/>
        <w:gridCol w:w="3120"/>
        <w:gridCol w:w="3120"/>
      </w:tblGrid>
      <w:tr w:rsidR="00E23BCE" w14:paraId="1F20DC22" w14:textId="77777777">
        <w:trPr>
          <w:jc w:val="center"/>
        </w:trPr>
        <w:tc>
          <w:tcPr>
            <w:tcW w:w="3120" w:type="dxa"/>
            <w:shd w:val="clear" w:color="auto" w:fill="17365D"/>
            <w:tcMar>
              <w:top w:w="100" w:type="dxa"/>
              <w:left w:w="130" w:type="dxa"/>
              <w:bottom w:w="100" w:type="dxa"/>
              <w:right w:w="130" w:type="dxa"/>
            </w:tcMar>
            <w:vAlign w:val="center"/>
          </w:tcPr>
          <w:p w14:paraId="11BE4C14" w14:textId="77777777" w:rsidR="00E23BCE" w:rsidRDefault="00000000">
            <w:pPr>
              <w:jc w:val="center"/>
            </w:pPr>
            <w:r>
              <w:rPr>
                <w:b/>
                <w:color w:val="FFFFFF"/>
                <w:sz w:val="22"/>
              </w:rPr>
              <w:t>BRONZE</w:t>
            </w:r>
          </w:p>
        </w:tc>
        <w:tc>
          <w:tcPr>
            <w:tcW w:w="3120" w:type="dxa"/>
            <w:shd w:val="clear" w:color="auto" w:fill="17365D"/>
            <w:tcMar>
              <w:top w:w="100" w:type="dxa"/>
              <w:left w:w="130" w:type="dxa"/>
              <w:bottom w:w="100" w:type="dxa"/>
              <w:right w:w="130" w:type="dxa"/>
            </w:tcMar>
            <w:vAlign w:val="center"/>
          </w:tcPr>
          <w:p w14:paraId="4C794C9B" w14:textId="77777777" w:rsidR="00E23BCE" w:rsidRDefault="00000000">
            <w:pPr>
              <w:jc w:val="center"/>
            </w:pPr>
            <w:r>
              <w:rPr>
                <w:b/>
                <w:color w:val="FFFFFF"/>
                <w:sz w:val="22"/>
              </w:rPr>
              <w:t>SILVER</w:t>
            </w:r>
          </w:p>
        </w:tc>
        <w:tc>
          <w:tcPr>
            <w:tcW w:w="3120" w:type="dxa"/>
            <w:shd w:val="clear" w:color="auto" w:fill="17365D"/>
            <w:tcMar>
              <w:top w:w="100" w:type="dxa"/>
              <w:left w:w="130" w:type="dxa"/>
              <w:bottom w:w="100" w:type="dxa"/>
              <w:right w:w="130" w:type="dxa"/>
            </w:tcMar>
            <w:vAlign w:val="center"/>
          </w:tcPr>
          <w:p w14:paraId="647CB461" w14:textId="77777777" w:rsidR="00E23BCE" w:rsidRDefault="00000000">
            <w:pPr>
              <w:jc w:val="center"/>
            </w:pPr>
            <w:r>
              <w:rPr>
                <w:b/>
                <w:color w:val="FFFFFF"/>
                <w:sz w:val="22"/>
              </w:rPr>
              <w:t>GOLD</w:t>
            </w:r>
          </w:p>
        </w:tc>
      </w:tr>
      <w:tr w:rsidR="00E23BCE" w14:paraId="4D3C48CA" w14:textId="77777777">
        <w:trPr>
          <w:jc w:val="center"/>
        </w:trPr>
        <w:tc>
          <w:tcPr>
            <w:tcW w:w="3120" w:type="dxa"/>
            <w:shd w:val="clear" w:color="auto" w:fill="F4F6F8"/>
            <w:tcMar>
              <w:top w:w="100" w:type="dxa"/>
              <w:left w:w="130" w:type="dxa"/>
              <w:bottom w:w="100" w:type="dxa"/>
              <w:right w:w="130" w:type="dxa"/>
            </w:tcMar>
            <w:vAlign w:val="center"/>
          </w:tcPr>
          <w:p w14:paraId="4AA9D799" w14:textId="77777777" w:rsidR="00E23BCE" w:rsidRDefault="00000000">
            <w:pPr>
              <w:jc w:val="center"/>
            </w:pPr>
            <w:r>
              <w:rPr>
                <w:sz w:val="18"/>
              </w:rPr>
              <w:t>Raw CSV in S3-compatible storage</w:t>
            </w:r>
          </w:p>
        </w:tc>
        <w:tc>
          <w:tcPr>
            <w:tcW w:w="3120" w:type="dxa"/>
            <w:shd w:val="clear" w:color="auto" w:fill="F4F6F8"/>
            <w:tcMar>
              <w:top w:w="100" w:type="dxa"/>
              <w:left w:w="130" w:type="dxa"/>
              <w:bottom w:w="100" w:type="dxa"/>
              <w:right w:w="130" w:type="dxa"/>
            </w:tcMar>
            <w:vAlign w:val="center"/>
          </w:tcPr>
          <w:p w14:paraId="70C0DADA" w14:textId="77777777" w:rsidR="00E23BCE" w:rsidRDefault="00000000">
            <w:pPr>
              <w:jc w:val="center"/>
            </w:pPr>
            <w:r>
              <w:rPr>
                <w:sz w:val="18"/>
              </w:rPr>
              <w:t>Cleaned, typed, partitioned Parquet</w:t>
            </w:r>
          </w:p>
        </w:tc>
        <w:tc>
          <w:tcPr>
            <w:tcW w:w="3120" w:type="dxa"/>
            <w:shd w:val="clear" w:color="auto" w:fill="F4F6F8"/>
            <w:tcMar>
              <w:top w:w="100" w:type="dxa"/>
              <w:left w:w="130" w:type="dxa"/>
              <w:bottom w:w="100" w:type="dxa"/>
              <w:right w:w="130" w:type="dxa"/>
            </w:tcMar>
            <w:vAlign w:val="center"/>
          </w:tcPr>
          <w:p w14:paraId="3198C7F8" w14:textId="77777777" w:rsidR="00E23BCE" w:rsidRDefault="00000000">
            <w:pPr>
              <w:jc w:val="center"/>
            </w:pPr>
            <w:r>
              <w:rPr>
                <w:sz w:val="18"/>
              </w:rPr>
              <w:t>Business-ready risk metrics</w:t>
            </w:r>
          </w:p>
        </w:tc>
      </w:tr>
    </w:tbl>
    <w:p w14:paraId="1CC1431A" w14:textId="77777777" w:rsidR="00E23BCE" w:rsidRDefault="00000000">
      <w:pPr>
        <w:spacing w:before="960" w:after="0"/>
        <w:jc w:val="center"/>
      </w:pPr>
      <w:r>
        <w:rPr>
          <w:i/>
          <w:color w:val="5B6573"/>
          <w:sz w:val="19"/>
        </w:rPr>
        <w:t>Prepared as a technical project walkthrough and interview-ready case study</w:t>
      </w:r>
    </w:p>
    <w:p w14:paraId="3D380E7E" w14:textId="77777777" w:rsidR="00E23BCE" w:rsidRDefault="00000000">
      <w:r>
        <w:br w:type="page"/>
      </w:r>
    </w:p>
    <w:p w14:paraId="2A90CDA5" w14:textId="77777777" w:rsidR="00E23BCE" w:rsidRDefault="00000000">
      <w:pPr>
        <w:pStyle w:val="Heading1"/>
      </w:pPr>
      <w:r>
        <w:lastRenderedPageBreak/>
        <w:t>1. Project at a Glance</w:t>
      </w:r>
    </w:p>
    <w:tbl>
      <w:tblPr>
        <w:tblW w:w="9360" w:type="dxa"/>
        <w:jc w:val="center"/>
        <w:tblLayout w:type="fixed"/>
        <w:tblLook w:val="04A0" w:firstRow="1" w:lastRow="0" w:firstColumn="1" w:lastColumn="0" w:noHBand="0" w:noVBand="1"/>
      </w:tblPr>
      <w:tblGrid>
        <w:gridCol w:w="9360"/>
      </w:tblGrid>
      <w:tr w:rsidR="00E23BCE" w14:paraId="4CD91DF0" w14:textId="77777777">
        <w:trPr>
          <w:jc w:val="center"/>
        </w:trPr>
        <w:tc>
          <w:tcPr>
            <w:tcW w:w="9360" w:type="dxa"/>
            <w:shd w:val="clear" w:color="auto" w:fill="EAF2F8"/>
            <w:tcMar>
              <w:top w:w="100" w:type="dxa"/>
              <w:left w:w="130" w:type="dxa"/>
              <w:bottom w:w="100" w:type="dxa"/>
              <w:right w:w="130" w:type="dxa"/>
            </w:tcMar>
            <w:vAlign w:val="center"/>
          </w:tcPr>
          <w:p w14:paraId="102DEC91" w14:textId="77777777" w:rsidR="00E23BCE" w:rsidRDefault="00000000">
            <w:pPr>
              <w:spacing w:after="40"/>
            </w:pPr>
            <w:r>
              <w:rPr>
                <w:b/>
                <w:color w:val="2A9D8F"/>
              </w:rPr>
              <w:t xml:space="preserve">Objective  </w:t>
            </w:r>
            <w:r>
              <w:rPr>
                <w:sz w:val="20"/>
              </w:rPr>
              <w:t>Build a production-style local data pipeline that transforms raw credit-risk records into decision-ready portfolio metrics and an interactive Power BI report.</w:t>
            </w:r>
          </w:p>
        </w:tc>
      </w:tr>
    </w:tbl>
    <w:p w14:paraId="405E60EC" w14:textId="77777777" w:rsidR="00E23BCE" w:rsidRDefault="00E23BCE">
      <w:pPr>
        <w:spacing w:after="40"/>
      </w:pPr>
    </w:p>
    <w:p w14:paraId="7FB90450" w14:textId="77777777" w:rsidR="00E23BCE" w:rsidRDefault="00000000">
      <w:pPr>
        <w:pStyle w:val="Heading2"/>
      </w:pPr>
      <w:r>
        <w:t>Business questions</w:t>
      </w:r>
    </w:p>
    <w:p w14:paraId="2724DF6A" w14:textId="52515ABF" w:rsidR="007C120F" w:rsidRPr="007C120F" w:rsidRDefault="00000000" w:rsidP="007C120F">
      <w:pPr>
        <w:pStyle w:val="ListBullet"/>
        <w:rPr>
          <w:sz w:val="23"/>
          <w:szCs w:val="23"/>
        </w:rPr>
      </w:pPr>
      <w:r w:rsidRPr="007C120F">
        <w:rPr>
          <w:sz w:val="23"/>
          <w:szCs w:val="23"/>
        </w:rPr>
        <w:t>How do interest rates, borrower income, and risk categories relate to default performance?</w:t>
      </w:r>
    </w:p>
    <w:p w14:paraId="1DC84994" w14:textId="542435EA" w:rsidR="00966E55" w:rsidRDefault="007C120F" w:rsidP="007C120F">
      <w:pPr>
        <w:pStyle w:val="ListBullet"/>
        <w:numPr>
          <w:ilvl w:val="0"/>
          <w:numId w:val="0"/>
        </w:numPr>
        <w:ind w:left="360" w:hanging="360"/>
        <w:rPr>
          <w:i/>
          <w:iCs/>
        </w:rPr>
      </w:pPr>
      <w:r w:rsidRPr="007C120F">
        <w:rPr>
          <w:i/>
          <w:iCs/>
        </w:rPr>
        <w:t xml:space="preserve">     </w:t>
      </w:r>
      <w:r>
        <w:rPr>
          <w:i/>
          <w:iCs/>
        </w:rPr>
        <w:t xml:space="preserve">   </w:t>
      </w:r>
      <w:r w:rsidR="00966E55" w:rsidRPr="007C120F">
        <w:rPr>
          <w:i/>
          <w:iCs/>
        </w:rPr>
        <w:t xml:space="preserve">-Majority of Money is within 10%-15% range </w:t>
      </w:r>
      <w:r w:rsidRPr="007C120F">
        <w:rPr>
          <w:i/>
          <w:iCs/>
        </w:rPr>
        <w:t xml:space="preserve">with a high-risk count. Although this may look like poor </w:t>
      </w:r>
      <w:r>
        <w:rPr>
          <w:i/>
          <w:iCs/>
        </w:rPr>
        <w:t xml:space="preserve">   </w:t>
      </w:r>
      <w:r w:rsidRPr="007C120F">
        <w:rPr>
          <w:i/>
          <w:iCs/>
        </w:rPr>
        <w:t xml:space="preserve">performance if you highlight 40-60K and 60K-80K within the Income Bucket Slicer there is a great profile on Low-Risk Loan Counts. Under 40K Income is where your performance dips. </w:t>
      </w:r>
    </w:p>
    <w:p w14:paraId="0B5989EB" w14:textId="77777777" w:rsidR="007C120F" w:rsidRPr="007C120F" w:rsidRDefault="007C120F" w:rsidP="007C120F">
      <w:pPr>
        <w:pStyle w:val="ListBullet"/>
        <w:numPr>
          <w:ilvl w:val="0"/>
          <w:numId w:val="0"/>
        </w:numPr>
        <w:ind w:left="360" w:hanging="360"/>
        <w:rPr>
          <w:i/>
          <w:iCs/>
        </w:rPr>
      </w:pPr>
    </w:p>
    <w:p w14:paraId="50D19FE0" w14:textId="296C7843" w:rsidR="007C120F" w:rsidRPr="007C120F" w:rsidRDefault="00000000" w:rsidP="007C120F">
      <w:pPr>
        <w:pStyle w:val="ListBullet"/>
        <w:rPr>
          <w:sz w:val="23"/>
          <w:szCs w:val="23"/>
        </w:rPr>
      </w:pPr>
      <w:r w:rsidRPr="007C120F">
        <w:rPr>
          <w:sz w:val="23"/>
          <w:szCs w:val="23"/>
        </w:rPr>
        <w:t>Where is the greatest concentration of loan count and total loan dollars?</w:t>
      </w:r>
    </w:p>
    <w:p w14:paraId="411144FF" w14:textId="49CAEEBD" w:rsidR="00C1265C" w:rsidRPr="007C120F" w:rsidRDefault="007C120F" w:rsidP="007C120F">
      <w:pPr>
        <w:pStyle w:val="ListBullet"/>
        <w:numPr>
          <w:ilvl w:val="0"/>
          <w:numId w:val="0"/>
        </w:numPr>
        <w:rPr>
          <w:i/>
          <w:iCs/>
        </w:rPr>
      </w:pPr>
      <w:r>
        <w:rPr>
          <w:i/>
          <w:iCs/>
        </w:rPr>
        <w:t xml:space="preserve">        -</w:t>
      </w:r>
      <w:r w:rsidR="00C1265C" w:rsidRPr="007C120F">
        <w:rPr>
          <w:i/>
          <w:iCs/>
        </w:rPr>
        <w:t xml:space="preserve">2/3’s of loans are in Grade A/B </w:t>
      </w:r>
      <w:r w:rsidR="00966E55" w:rsidRPr="007C120F">
        <w:rPr>
          <w:i/>
          <w:iCs/>
        </w:rPr>
        <w:t>and Roughly 60% of loan currency lies within those grades.</w:t>
      </w:r>
    </w:p>
    <w:p w14:paraId="24DA4B3C" w14:textId="77777777" w:rsidR="00E23BCE" w:rsidRDefault="00000000">
      <w:pPr>
        <w:pStyle w:val="Heading2"/>
      </w:pPr>
      <w:r>
        <w:t>Architecture</w:t>
      </w:r>
    </w:p>
    <w:p w14:paraId="6585057A" w14:textId="77777777" w:rsidR="00E23BCE" w:rsidRDefault="00000000">
      <w:pPr>
        <w:shd w:val="clear" w:color="auto" w:fill="EEF2F6"/>
        <w:spacing w:before="60" w:after="160" w:line="240" w:lineRule="auto"/>
        <w:ind w:left="173" w:right="173"/>
      </w:pPr>
      <w:r>
        <w:rPr>
          <w:rFonts w:ascii="Consolas" w:hAnsi="Consolas"/>
          <w:color w:val="263238"/>
          <w:sz w:val="17"/>
        </w:rPr>
        <w:t>Raw CSV  →  Python/boto3  →  LocalStack S3 (Bronze)</w:t>
      </w:r>
      <w:r>
        <w:rPr>
          <w:rFonts w:ascii="Consolas" w:hAnsi="Consolas"/>
          <w:color w:val="263238"/>
          <w:sz w:val="17"/>
        </w:rPr>
        <w:br/>
        <w:t xml:space="preserve">         →  PySpark cleansing  →  partitioned Parquet (Silver)</w:t>
      </w:r>
      <w:r>
        <w:rPr>
          <w:rFonts w:ascii="Consolas" w:hAnsi="Consolas"/>
          <w:color w:val="263238"/>
          <w:sz w:val="17"/>
        </w:rPr>
        <w:br/>
        <w:t xml:space="preserve">         →  PySpark aggregation  →  risk summary (Gold)</w:t>
      </w:r>
      <w:r>
        <w:rPr>
          <w:rFonts w:ascii="Consolas" w:hAnsi="Consolas"/>
          <w:color w:val="263238"/>
          <w:sz w:val="17"/>
        </w:rPr>
        <w:br/>
        <w:t xml:space="preserve">         →  CSV export  →  Power BI executive + tabular pages</w:t>
      </w:r>
    </w:p>
    <w:p w14:paraId="3B2FFA81" w14:textId="77777777" w:rsidR="00E23BCE" w:rsidRDefault="00000000">
      <w:pPr>
        <w:pStyle w:val="Heading2"/>
      </w:pPr>
      <w:r>
        <w:t>Technology stack</w:t>
      </w:r>
    </w:p>
    <w:tbl>
      <w:tblPr>
        <w:tblW w:w="9360" w:type="dxa"/>
        <w:jc w:val="center"/>
        <w:tblLayout w:type="fixed"/>
        <w:tblLook w:val="04A0" w:firstRow="1" w:lastRow="0" w:firstColumn="1" w:lastColumn="0" w:noHBand="0" w:noVBand="1"/>
      </w:tblPr>
      <w:tblGrid>
        <w:gridCol w:w="2700"/>
        <w:gridCol w:w="6660"/>
      </w:tblGrid>
      <w:tr w:rsidR="00E23BCE" w14:paraId="0E16B747" w14:textId="77777777">
        <w:trPr>
          <w:tblHeader/>
          <w:jc w:val="center"/>
        </w:trPr>
        <w:tc>
          <w:tcPr>
            <w:tcW w:w="2700" w:type="dxa"/>
            <w:shd w:val="clear" w:color="auto" w:fill="17365D"/>
            <w:tcMar>
              <w:top w:w="100" w:type="dxa"/>
              <w:left w:w="130" w:type="dxa"/>
              <w:bottom w:w="100" w:type="dxa"/>
              <w:right w:w="130" w:type="dxa"/>
            </w:tcMar>
            <w:vAlign w:val="center"/>
          </w:tcPr>
          <w:p w14:paraId="3AA9F0E5" w14:textId="77777777" w:rsidR="00E23BCE" w:rsidRDefault="00000000">
            <w:r>
              <w:rPr>
                <w:b/>
                <w:color w:val="FFFFFF"/>
                <w:sz w:val="19"/>
              </w:rPr>
              <w:t>Technology</w:t>
            </w:r>
          </w:p>
        </w:tc>
        <w:tc>
          <w:tcPr>
            <w:tcW w:w="6660" w:type="dxa"/>
            <w:shd w:val="clear" w:color="auto" w:fill="17365D"/>
            <w:tcMar>
              <w:top w:w="100" w:type="dxa"/>
              <w:left w:w="130" w:type="dxa"/>
              <w:bottom w:w="100" w:type="dxa"/>
              <w:right w:w="130" w:type="dxa"/>
            </w:tcMar>
            <w:vAlign w:val="center"/>
          </w:tcPr>
          <w:p w14:paraId="248B465A" w14:textId="77777777" w:rsidR="00E23BCE" w:rsidRDefault="00000000">
            <w:r>
              <w:rPr>
                <w:b/>
                <w:color w:val="FFFFFF"/>
                <w:sz w:val="19"/>
              </w:rPr>
              <w:t>Role in the project</w:t>
            </w:r>
          </w:p>
        </w:tc>
      </w:tr>
      <w:tr w:rsidR="00E23BCE" w14:paraId="0751A664" w14:textId="77777777">
        <w:trPr>
          <w:jc w:val="center"/>
        </w:trPr>
        <w:tc>
          <w:tcPr>
            <w:tcW w:w="2700" w:type="dxa"/>
            <w:tcMar>
              <w:top w:w="100" w:type="dxa"/>
              <w:left w:w="130" w:type="dxa"/>
              <w:bottom w:w="100" w:type="dxa"/>
              <w:right w:w="130" w:type="dxa"/>
            </w:tcMar>
            <w:vAlign w:val="center"/>
          </w:tcPr>
          <w:p w14:paraId="1881C456" w14:textId="77777777" w:rsidR="00E23BCE" w:rsidRDefault="00000000">
            <w:r>
              <w:rPr>
                <w:b/>
                <w:color w:val="17365D"/>
                <w:sz w:val="18"/>
              </w:rPr>
              <w:t>Python + boto3</w:t>
            </w:r>
          </w:p>
        </w:tc>
        <w:tc>
          <w:tcPr>
            <w:tcW w:w="6660" w:type="dxa"/>
            <w:tcMar>
              <w:top w:w="100" w:type="dxa"/>
              <w:left w:w="130" w:type="dxa"/>
              <w:bottom w:w="100" w:type="dxa"/>
              <w:right w:w="130" w:type="dxa"/>
            </w:tcMar>
            <w:vAlign w:val="center"/>
          </w:tcPr>
          <w:p w14:paraId="4555CACB" w14:textId="77777777" w:rsidR="00E23BCE" w:rsidRDefault="00000000">
            <w:r>
              <w:rPr>
                <w:sz w:val="18"/>
              </w:rPr>
              <w:t>Creates the bucket and uploads the source CSV.</w:t>
            </w:r>
          </w:p>
        </w:tc>
      </w:tr>
      <w:tr w:rsidR="00E23BCE" w14:paraId="398FAE49" w14:textId="77777777">
        <w:trPr>
          <w:jc w:val="center"/>
        </w:trPr>
        <w:tc>
          <w:tcPr>
            <w:tcW w:w="2700" w:type="dxa"/>
            <w:tcMar>
              <w:top w:w="100" w:type="dxa"/>
              <w:left w:w="130" w:type="dxa"/>
              <w:bottom w:w="100" w:type="dxa"/>
              <w:right w:w="130" w:type="dxa"/>
            </w:tcMar>
            <w:vAlign w:val="center"/>
          </w:tcPr>
          <w:p w14:paraId="6268F93B" w14:textId="77777777" w:rsidR="00E23BCE" w:rsidRDefault="00000000">
            <w:r>
              <w:rPr>
                <w:b/>
                <w:color w:val="17365D"/>
                <w:sz w:val="18"/>
              </w:rPr>
              <w:t>Apache Spark / PySpark</w:t>
            </w:r>
          </w:p>
        </w:tc>
        <w:tc>
          <w:tcPr>
            <w:tcW w:w="6660" w:type="dxa"/>
            <w:tcMar>
              <w:top w:w="100" w:type="dxa"/>
              <w:left w:w="130" w:type="dxa"/>
              <w:bottom w:w="100" w:type="dxa"/>
              <w:right w:w="130" w:type="dxa"/>
            </w:tcMar>
            <w:vAlign w:val="center"/>
          </w:tcPr>
          <w:p w14:paraId="702E4165" w14:textId="77777777" w:rsidR="00E23BCE" w:rsidRDefault="00000000">
            <w:r>
              <w:rPr>
                <w:sz w:val="18"/>
              </w:rPr>
              <w:t>Cleans, transforms, aggregates, and exports the data.</w:t>
            </w:r>
          </w:p>
        </w:tc>
      </w:tr>
      <w:tr w:rsidR="00E23BCE" w14:paraId="2298436D" w14:textId="77777777">
        <w:trPr>
          <w:jc w:val="center"/>
        </w:trPr>
        <w:tc>
          <w:tcPr>
            <w:tcW w:w="2700" w:type="dxa"/>
            <w:tcMar>
              <w:top w:w="100" w:type="dxa"/>
              <w:left w:w="130" w:type="dxa"/>
              <w:bottom w:w="100" w:type="dxa"/>
              <w:right w:w="130" w:type="dxa"/>
            </w:tcMar>
            <w:vAlign w:val="center"/>
          </w:tcPr>
          <w:p w14:paraId="581E0441" w14:textId="77777777" w:rsidR="00E23BCE" w:rsidRDefault="00000000">
            <w:r>
              <w:rPr>
                <w:b/>
                <w:color w:val="17365D"/>
                <w:sz w:val="18"/>
              </w:rPr>
              <w:t>Docker Compose</w:t>
            </w:r>
          </w:p>
        </w:tc>
        <w:tc>
          <w:tcPr>
            <w:tcW w:w="6660" w:type="dxa"/>
            <w:tcMar>
              <w:top w:w="100" w:type="dxa"/>
              <w:left w:w="130" w:type="dxa"/>
              <w:bottom w:w="100" w:type="dxa"/>
              <w:right w:w="130" w:type="dxa"/>
            </w:tcMar>
            <w:vAlign w:val="center"/>
          </w:tcPr>
          <w:p w14:paraId="1296145F" w14:textId="77777777" w:rsidR="00E23BCE" w:rsidRDefault="00000000">
            <w:r>
              <w:rPr>
                <w:sz w:val="18"/>
              </w:rPr>
              <w:t>Runs Spark and LocalStack as repeatable containerized services.</w:t>
            </w:r>
          </w:p>
        </w:tc>
      </w:tr>
      <w:tr w:rsidR="00E23BCE" w14:paraId="48B37150" w14:textId="77777777">
        <w:trPr>
          <w:jc w:val="center"/>
        </w:trPr>
        <w:tc>
          <w:tcPr>
            <w:tcW w:w="2700" w:type="dxa"/>
            <w:tcMar>
              <w:top w:w="100" w:type="dxa"/>
              <w:left w:w="130" w:type="dxa"/>
              <w:bottom w:w="100" w:type="dxa"/>
              <w:right w:w="130" w:type="dxa"/>
            </w:tcMar>
            <w:vAlign w:val="center"/>
          </w:tcPr>
          <w:p w14:paraId="465F67F1" w14:textId="77777777" w:rsidR="00E23BCE" w:rsidRDefault="00000000">
            <w:r>
              <w:rPr>
                <w:b/>
                <w:color w:val="17365D"/>
                <w:sz w:val="18"/>
              </w:rPr>
              <w:t>LocalStack / S3A</w:t>
            </w:r>
          </w:p>
        </w:tc>
        <w:tc>
          <w:tcPr>
            <w:tcW w:w="6660" w:type="dxa"/>
            <w:tcMar>
              <w:top w:w="100" w:type="dxa"/>
              <w:left w:w="130" w:type="dxa"/>
              <w:bottom w:w="100" w:type="dxa"/>
              <w:right w:w="130" w:type="dxa"/>
            </w:tcMar>
            <w:vAlign w:val="center"/>
          </w:tcPr>
          <w:p w14:paraId="55235CFE" w14:textId="77777777" w:rsidR="00E23BCE" w:rsidRDefault="00000000">
            <w:r>
              <w:rPr>
                <w:sz w:val="18"/>
              </w:rPr>
              <w:t>Provides an AWS S3-compatible development environment.</w:t>
            </w:r>
          </w:p>
        </w:tc>
      </w:tr>
      <w:tr w:rsidR="00E23BCE" w14:paraId="60114BC5" w14:textId="77777777">
        <w:trPr>
          <w:jc w:val="center"/>
        </w:trPr>
        <w:tc>
          <w:tcPr>
            <w:tcW w:w="2700" w:type="dxa"/>
            <w:tcMar>
              <w:top w:w="100" w:type="dxa"/>
              <w:left w:w="130" w:type="dxa"/>
              <w:bottom w:w="100" w:type="dxa"/>
              <w:right w:w="130" w:type="dxa"/>
            </w:tcMar>
            <w:vAlign w:val="center"/>
          </w:tcPr>
          <w:p w14:paraId="270ED943" w14:textId="77777777" w:rsidR="00E23BCE" w:rsidRDefault="00000000">
            <w:r>
              <w:rPr>
                <w:b/>
                <w:color w:val="17365D"/>
                <w:sz w:val="18"/>
              </w:rPr>
              <w:t>Parquet</w:t>
            </w:r>
          </w:p>
        </w:tc>
        <w:tc>
          <w:tcPr>
            <w:tcW w:w="6660" w:type="dxa"/>
            <w:tcMar>
              <w:top w:w="100" w:type="dxa"/>
              <w:left w:w="130" w:type="dxa"/>
              <w:bottom w:w="100" w:type="dxa"/>
              <w:right w:w="130" w:type="dxa"/>
            </w:tcMar>
            <w:vAlign w:val="center"/>
          </w:tcPr>
          <w:p w14:paraId="7FB1B8F3" w14:textId="77777777" w:rsidR="00E23BCE" w:rsidRDefault="00000000">
            <w:r>
              <w:rPr>
                <w:sz w:val="18"/>
              </w:rPr>
              <w:t>Stores Silver and Gold data efficiently with loan-grade partitioning.</w:t>
            </w:r>
          </w:p>
        </w:tc>
      </w:tr>
      <w:tr w:rsidR="00E23BCE" w14:paraId="4911E309" w14:textId="77777777">
        <w:trPr>
          <w:jc w:val="center"/>
        </w:trPr>
        <w:tc>
          <w:tcPr>
            <w:tcW w:w="2700" w:type="dxa"/>
            <w:tcMar>
              <w:top w:w="100" w:type="dxa"/>
              <w:left w:w="130" w:type="dxa"/>
              <w:bottom w:w="100" w:type="dxa"/>
              <w:right w:w="130" w:type="dxa"/>
            </w:tcMar>
            <w:vAlign w:val="center"/>
          </w:tcPr>
          <w:p w14:paraId="1294AA66" w14:textId="77777777" w:rsidR="00E23BCE" w:rsidRDefault="00000000">
            <w:r>
              <w:rPr>
                <w:b/>
                <w:color w:val="17365D"/>
                <w:sz w:val="18"/>
              </w:rPr>
              <w:t>Power BI + Power Query</w:t>
            </w:r>
          </w:p>
        </w:tc>
        <w:tc>
          <w:tcPr>
            <w:tcW w:w="6660" w:type="dxa"/>
            <w:tcMar>
              <w:top w:w="100" w:type="dxa"/>
              <w:left w:w="130" w:type="dxa"/>
              <w:bottom w:w="100" w:type="dxa"/>
              <w:right w:w="130" w:type="dxa"/>
            </w:tcMar>
            <w:vAlign w:val="center"/>
          </w:tcPr>
          <w:p w14:paraId="6C59B8C2" w14:textId="77777777" w:rsidR="00E23BCE" w:rsidRDefault="00000000">
            <w:r>
              <w:rPr>
                <w:sz w:val="18"/>
              </w:rPr>
              <w:t>Builds the semantic layer, buckets, slicers, and dashboard.</w:t>
            </w:r>
          </w:p>
        </w:tc>
      </w:tr>
      <w:tr w:rsidR="00E23BCE" w14:paraId="76273634" w14:textId="77777777">
        <w:trPr>
          <w:jc w:val="center"/>
        </w:trPr>
        <w:tc>
          <w:tcPr>
            <w:tcW w:w="2700" w:type="dxa"/>
            <w:tcMar>
              <w:top w:w="100" w:type="dxa"/>
              <w:left w:w="130" w:type="dxa"/>
              <w:bottom w:w="100" w:type="dxa"/>
              <w:right w:w="130" w:type="dxa"/>
            </w:tcMar>
            <w:vAlign w:val="center"/>
          </w:tcPr>
          <w:p w14:paraId="4E3FB426" w14:textId="77777777" w:rsidR="00E23BCE" w:rsidRDefault="00000000">
            <w:r>
              <w:rPr>
                <w:b/>
                <w:color w:val="17365D"/>
                <w:sz w:val="18"/>
              </w:rPr>
              <w:t>DAX</w:t>
            </w:r>
          </w:p>
        </w:tc>
        <w:tc>
          <w:tcPr>
            <w:tcW w:w="6660" w:type="dxa"/>
            <w:tcMar>
              <w:top w:w="100" w:type="dxa"/>
              <w:left w:w="130" w:type="dxa"/>
              <w:bottom w:w="100" w:type="dxa"/>
              <w:right w:w="130" w:type="dxa"/>
            </w:tcMar>
            <w:vAlign w:val="center"/>
          </w:tcPr>
          <w:p w14:paraId="7CEEF483" w14:textId="77777777" w:rsidR="00E23BCE" w:rsidRDefault="00000000">
            <w:r>
              <w:rPr>
                <w:sz w:val="18"/>
              </w:rPr>
              <w:t>Calculates weighted portfolio KPIs and interactive measures.</w:t>
            </w:r>
          </w:p>
        </w:tc>
      </w:tr>
    </w:tbl>
    <w:p w14:paraId="59576964" w14:textId="77777777" w:rsidR="00E23BCE" w:rsidRDefault="00000000">
      <w:r>
        <w:br w:type="page"/>
      </w:r>
    </w:p>
    <w:p w14:paraId="09730EF4" w14:textId="77777777" w:rsidR="00E23BCE" w:rsidRDefault="00000000">
      <w:pPr>
        <w:pStyle w:val="Heading1"/>
      </w:pPr>
      <w:r>
        <w:lastRenderedPageBreak/>
        <w:t>2. Project Structure and Runtime Flow</w:t>
      </w:r>
    </w:p>
    <w:p w14:paraId="1E115027" w14:textId="77777777" w:rsidR="00E23BCE" w:rsidRDefault="00000000">
      <w:r>
        <w:t>The repository keeps infrastructure, transformation scripts, generated reporting files, and documentation in clearly separated locations. This structure makes the project easy to run, explain, and publish.</w:t>
      </w:r>
    </w:p>
    <w:p w14:paraId="193CB3C6" w14:textId="77777777" w:rsidR="00E23BCE" w:rsidRDefault="00000000">
      <w:pPr>
        <w:spacing w:before="80" w:after="80"/>
        <w:jc w:val="center"/>
      </w:pPr>
      <w:r>
        <w:rPr>
          <w:noProof/>
        </w:rPr>
        <w:drawing>
          <wp:inline distT="0" distB="0" distL="0" distR="0" wp14:anchorId="158B380C" wp14:editId="18F1E82C">
            <wp:extent cx="5943600" cy="2424459"/>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7236be-c68b-442e-8170-155d6215161d.png"/>
                    <pic:cNvPicPr/>
                  </pic:nvPicPr>
                  <pic:blipFill>
                    <a:blip r:embed="rId8"/>
                    <a:stretch>
                      <a:fillRect/>
                    </a:stretch>
                  </pic:blipFill>
                  <pic:spPr>
                    <a:xfrm>
                      <a:off x="0" y="0"/>
                      <a:ext cx="5943600" cy="2424459"/>
                    </a:xfrm>
                    <a:prstGeom prst="rect">
                      <a:avLst/>
                    </a:prstGeom>
                  </pic:spPr>
                </pic:pic>
              </a:graphicData>
            </a:graphic>
          </wp:inline>
        </w:drawing>
      </w:r>
    </w:p>
    <w:p w14:paraId="48C970F8" w14:textId="77777777" w:rsidR="00E23BCE" w:rsidRDefault="00000000">
      <w:pPr>
        <w:spacing w:after="160"/>
        <w:jc w:val="center"/>
      </w:pPr>
      <w:r>
        <w:rPr>
          <w:i/>
          <w:color w:val="5B6573"/>
          <w:sz w:val="17"/>
        </w:rPr>
        <w:t>Windows project directory showing Docker configuration, source dataset, scripts, Power BI output, LocalStack data, environment settings, and documentation.</w:t>
      </w:r>
    </w:p>
    <w:p w14:paraId="72FFC337" w14:textId="77777777" w:rsidR="00E23BCE" w:rsidRDefault="00000000">
      <w:pPr>
        <w:pStyle w:val="Heading2"/>
      </w:pPr>
      <w:r>
        <w:t>Key project components</w:t>
      </w:r>
    </w:p>
    <w:p w14:paraId="58F10F1D" w14:textId="77777777" w:rsidR="00E23BCE" w:rsidRDefault="00000000">
      <w:pPr>
        <w:pStyle w:val="ListBullet"/>
      </w:pPr>
      <w:r>
        <w:t>docker-compose.yml — defines the LocalStack and Spark services.</w:t>
      </w:r>
    </w:p>
    <w:p w14:paraId="32DDA85F" w14:textId="77777777" w:rsidR="00E23BCE" w:rsidRDefault="00000000">
      <w:pPr>
        <w:pStyle w:val="ListBullet"/>
      </w:pPr>
      <w:r>
        <w:t>Scripts/ — contains upload, Silver ETL, Gold aggregation, and export jobs.</w:t>
      </w:r>
    </w:p>
    <w:p w14:paraId="7C91205F" w14:textId="77777777" w:rsidR="00E23BCE" w:rsidRDefault="00000000">
      <w:pPr>
        <w:pStyle w:val="ListBullet"/>
      </w:pPr>
      <w:r>
        <w:t>LocalStack-Data/ — preserves local S3-compatible state across restarts.</w:t>
      </w:r>
    </w:p>
    <w:p w14:paraId="6693D0E0" w14:textId="77777777" w:rsidR="00E23BCE" w:rsidRDefault="00000000">
      <w:pPr>
        <w:pStyle w:val="ListBullet"/>
      </w:pPr>
      <w:r>
        <w:t>PowerBI/ — receives the exported Gold CSV used by the report.</w:t>
      </w:r>
    </w:p>
    <w:p w14:paraId="4FC0FEA9" w14:textId="77777777" w:rsidR="00E23BCE" w:rsidRDefault="00000000">
      <w:pPr>
        <w:pStyle w:val="ListBullet"/>
      </w:pPr>
      <w:r>
        <w:t>Documentation/ — stores portfolio and project-supporting material.</w:t>
      </w:r>
    </w:p>
    <w:p w14:paraId="39F678B4" w14:textId="77777777" w:rsidR="00E23BCE" w:rsidRDefault="00000000">
      <w:pPr>
        <w:pStyle w:val="ListBullet"/>
      </w:pPr>
      <w:r>
        <w:t>Credit Risk Dashboard.pbix — contains the two-page Power BI report.</w:t>
      </w:r>
    </w:p>
    <w:p w14:paraId="3F816D07" w14:textId="77777777" w:rsidR="00E23BCE" w:rsidRDefault="00000000">
      <w:pPr>
        <w:spacing w:before="80" w:after="80"/>
        <w:jc w:val="center"/>
      </w:pPr>
      <w:r>
        <w:rPr>
          <w:noProof/>
        </w:rPr>
        <w:drawing>
          <wp:inline distT="0" distB="0" distL="0" distR="0" wp14:anchorId="1364A239" wp14:editId="16B02E11">
            <wp:extent cx="5943600" cy="1648358"/>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artup_and_upload.png"/>
                    <pic:cNvPicPr/>
                  </pic:nvPicPr>
                  <pic:blipFill>
                    <a:blip r:embed="rId9"/>
                    <a:stretch>
                      <a:fillRect/>
                    </a:stretch>
                  </pic:blipFill>
                  <pic:spPr>
                    <a:xfrm>
                      <a:off x="0" y="0"/>
                      <a:ext cx="5943600" cy="1648358"/>
                    </a:xfrm>
                    <a:prstGeom prst="rect">
                      <a:avLst/>
                    </a:prstGeom>
                  </pic:spPr>
                </pic:pic>
              </a:graphicData>
            </a:graphic>
          </wp:inline>
        </w:drawing>
      </w:r>
    </w:p>
    <w:p w14:paraId="63408500" w14:textId="77777777" w:rsidR="00E23BCE" w:rsidRDefault="00000000">
      <w:pPr>
        <w:spacing w:after="160"/>
        <w:jc w:val="center"/>
      </w:pPr>
      <w:r>
        <w:rPr>
          <w:i/>
          <w:color w:val="5B6573"/>
          <w:sz w:val="17"/>
        </w:rPr>
        <w:t>Representative execution evidence recreated from the verified project commands and outputs: container startup and Bronze ingestion.</w:t>
      </w:r>
    </w:p>
    <w:p w14:paraId="3D3B3A93" w14:textId="77777777" w:rsidR="00E23BCE" w:rsidRDefault="00000000">
      <w:r>
        <w:br w:type="page"/>
      </w:r>
    </w:p>
    <w:p w14:paraId="2442F09F" w14:textId="77777777" w:rsidR="00E23BCE" w:rsidRDefault="00000000">
      <w:pPr>
        <w:pStyle w:val="Heading1"/>
      </w:pPr>
      <w:r>
        <w:lastRenderedPageBreak/>
        <w:t>3. Pipeline Execution Evidence</w:t>
      </w:r>
    </w:p>
    <w:p w14:paraId="3715C7B9" w14:textId="77777777" w:rsidR="00E23BCE" w:rsidRDefault="00000000">
      <w:r>
        <w:t>The command-line sequence shows the data moving through the medallion layers and into the reporting folder. Long dependency-resolution output is intentionally omitted so the evidence focuses on the business-relevant milestones.</w:t>
      </w:r>
    </w:p>
    <w:p w14:paraId="599BD461" w14:textId="77777777" w:rsidR="00E23BCE" w:rsidRDefault="00000000">
      <w:pPr>
        <w:spacing w:before="80" w:after="80"/>
        <w:jc w:val="center"/>
      </w:pPr>
      <w:r>
        <w:rPr>
          <w:noProof/>
        </w:rPr>
        <w:drawing>
          <wp:inline distT="0" distB="0" distL="0" distR="0" wp14:anchorId="7FE3EEFB" wp14:editId="665404D9">
            <wp:extent cx="5943600" cy="1783080"/>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park_layers.png"/>
                    <pic:cNvPicPr/>
                  </pic:nvPicPr>
                  <pic:blipFill>
                    <a:blip r:embed="rId10"/>
                    <a:stretch>
                      <a:fillRect/>
                    </a:stretch>
                  </pic:blipFill>
                  <pic:spPr>
                    <a:xfrm>
                      <a:off x="0" y="0"/>
                      <a:ext cx="5943600" cy="1783080"/>
                    </a:xfrm>
                    <a:prstGeom prst="rect">
                      <a:avLst/>
                    </a:prstGeom>
                  </pic:spPr>
                </pic:pic>
              </a:graphicData>
            </a:graphic>
          </wp:inline>
        </w:drawing>
      </w:r>
    </w:p>
    <w:p w14:paraId="4A2F74B7" w14:textId="77777777" w:rsidR="00E23BCE" w:rsidRDefault="00000000">
      <w:pPr>
        <w:spacing w:after="160"/>
        <w:jc w:val="center"/>
      </w:pPr>
      <w:r>
        <w:rPr>
          <w:i/>
          <w:color w:val="5B6573"/>
          <w:sz w:val="17"/>
        </w:rPr>
        <w:t>Spark creates the cleaned Silver layer and aggregated Gold layer.</w:t>
      </w:r>
    </w:p>
    <w:p w14:paraId="199D6467" w14:textId="77777777" w:rsidR="00E23BCE" w:rsidRDefault="00000000">
      <w:pPr>
        <w:spacing w:before="80" w:after="80"/>
        <w:jc w:val="center"/>
      </w:pPr>
      <w:r>
        <w:rPr>
          <w:noProof/>
        </w:rPr>
        <w:drawing>
          <wp:inline distT="0" distB="0" distL="0" distR="0" wp14:anchorId="404AE7CD" wp14:editId="14AB7DB0">
            <wp:extent cx="5943600" cy="1648358"/>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3_verification.png"/>
                    <pic:cNvPicPr/>
                  </pic:nvPicPr>
                  <pic:blipFill>
                    <a:blip r:embed="rId11"/>
                    <a:stretch>
                      <a:fillRect/>
                    </a:stretch>
                  </pic:blipFill>
                  <pic:spPr>
                    <a:xfrm>
                      <a:off x="0" y="0"/>
                      <a:ext cx="5943600" cy="1648358"/>
                    </a:xfrm>
                    <a:prstGeom prst="rect">
                      <a:avLst/>
                    </a:prstGeom>
                  </pic:spPr>
                </pic:pic>
              </a:graphicData>
            </a:graphic>
          </wp:inline>
        </w:drawing>
      </w:r>
    </w:p>
    <w:p w14:paraId="462187AD" w14:textId="77777777" w:rsidR="00E23BCE" w:rsidRDefault="00000000">
      <w:pPr>
        <w:spacing w:after="160"/>
        <w:jc w:val="center"/>
      </w:pPr>
      <w:r>
        <w:rPr>
          <w:i/>
          <w:color w:val="5B6573"/>
          <w:sz w:val="17"/>
        </w:rPr>
        <w:t>S3 object keys confirm raw, processed, and Gold assets, including completion markers and grade partitions.</w:t>
      </w:r>
    </w:p>
    <w:p w14:paraId="0F5EE3E6" w14:textId="77777777" w:rsidR="00E23BCE" w:rsidRDefault="00000000">
      <w:pPr>
        <w:spacing w:before="80" w:after="80"/>
        <w:jc w:val="center"/>
      </w:pPr>
      <w:r>
        <w:rPr>
          <w:noProof/>
        </w:rPr>
        <w:drawing>
          <wp:inline distT="0" distB="0" distL="0" distR="0" wp14:anchorId="12019717" wp14:editId="620E1223">
            <wp:extent cx="5943600" cy="1513637"/>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owerbi_export.png"/>
                    <pic:cNvPicPr/>
                  </pic:nvPicPr>
                  <pic:blipFill>
                    <a:blip r:embed="rId12"/>
                    <a:stretch>
                      <a:fillRect/>
                    </a:stretch>
                  </pic:blipFill>
                  <pic:spPr>
                    <a:xfrm>
                      <a:off x="0" y="0"/>
                      <a:ext cx="5943600" cy="1513637"/>
                    </a:xfrm>
                    <a:prstGeom prst="rect">
                      <a:avLst/>
                    </a:prstGeom>
                  </pic:spPr>
                </pic:pic>
              </a:graphicData>
            </a:graphic>
          </wp:inline>
        </w:drawing>
      </w:r>
    </w:p>
    <w:p w14:paraId="46599F2F" w14:textId="77777777" w:rsidR="00E23BCE" w:rsidRDefault="00000000">
      <w:pPr>
        <w:spacing w:after="160"/>
        <w:jc w:val="center"/>
      </w:pPr>
      <w:r>
        <w:rPr>
          <w:i/>
          <w:color w:val="5B6573"/>
          <w:sz w:val="17"/>
        </w:rPr>
        <w:t>The Gold Parquet summary is exported to a CSV in the Docker-mounted Power BI folder.</w:t>
      </w:r>
    </w:p>
    <w:p w14:paraId="773CA37D" w14:textId="77777777" w:rsidR="00E23BCE" w:rsidRDefault="00000000">
      <w:r>
        <w:br w:type="page"/>
      </w:r>
    </w:p>
    <w:p w14:paraId="6C58F54F" w14:textId="77777777" w:rsidR="00E23BCE" w:rsidRDefault="00000000">
      <w:pPr>
        <w:pStyle w:val="Heading1"/>
      </w:pPr>
      <w:r>
        <w:lastRenderedPageBreak/>
        <w:t>4. Step-by-Step Implementation</w:t>
      </w:r>
    </w:p>
    <w:p w14:paraId="2BC7BE21" w14:textId="77777777" w:rsidR="00E23BCE" w:rsidRDefault="00000000">
      <w:pPr>
        <w:pStyle w:val="Heading2"/>
      </w:pPr>
      <w:r>
        <w:t>Step 1 — Prepare the source dataset</w:t>
      </w:r>
    </w:p>
    <w:p w14:paraId="28D5B728" w14:textId="77777777" w:rsidR="00E23BCE" w:rsidRDefault="00000000">
      <w:r>
        <w:t>The project starts with a borrower-level credit-risk CSV. The source contains attributes such as borrower income, loan amount, loan intent, interest rate, loan grade, income-to-loan ratio, and loan status.</w:t>
      </w:r>
    </w:p>
    <w:p w14:paraId="29E031BB" w14:textId="77777777" w:rsidR="00E23BCE" w:rsidRDefault="00000000">
      <w:pPr>
        <w:pStyle w:val="ListBullet"/>
      </w:pPr>
      <w:r>
        <w:t>Input file: credit_risk_dataset.csv</w:t>
      </w:r>
    </w:p>
    <w:p w14:paraId="18E08F41" w14:textId="77777777" w:rsidR="00E23BCE" w:rsidRDefault="00000000">
      <w:pPr>
        <w:pStyle w:val="ListBullet"/>
      </w:pPr>
      <w:r>
        <w:t>Source grain: one record per loan/borrower observation</w:t>
      </w:r>
    </w:p>
    <w:p w14:paraId="79E46C8D" w14:textId="77777777" w:rsidR="00E23BCE" w:rsidRDefault="00000000">
      <w:pPr>
        <w:pStyle w:val="ListBullet"/>
      </w:pPr>
      <w:r>
        <w:t>Primary target: a repeatable local cloud-style pipeline</w:t>
      </w:r>
    </w:p>
    <w:tbl>
      <w:tblPr>
        <w:tblW w:w="9360" w:type="dxa"/>
        <w:jc w:val="center"/>
        <w:tblLayout w:type="fixed"/>
        <w:tblLook w:val="04A0" w:firstRow="1" w:lastRow="0" w:firstColumn="1" w:lastColumn="0" w:noHBand="0" w:noVBand="1"/>
      </w:tblPr>
      <w:tblGrid>
        <w:gridCol w:w="9360"/>
      </w:tblGrid>
      <w:tr w:rsidR="00E23BCE" w14:paraId="7549DBA6" w14:textId="77777777">
        <w:trPr>
          <w:jc w:val="center"/>
        </w:trPr>
        <w:tc>
          <w:tcPr>
            <w:tcW w:w="9360" w:type="dxa"/>
            <w:shd w:val="clear" w:color="auto" w:fill="EAF2F8"/>
            <w:tcMar>
              <w:top w:w="100" w:type="dxa"/>
              <w:left w:w="130" w:type="dxa"/>
              <w:bottom w:w="100" w:type="dxa"/>
              <w:right w:w="130" w:type="dxa"/>
            </w:tcMar>
            <w:vAlign w:val="center"/>
          </w:tcPr>
          <w:p w14:paraId="4B25696A" w14:textId="77777777" w:rsidR="00E23BCE" w:rsidRDefault="00000000">
            <w:pPr>
              <w:spacing w:after="40"/>
            </w:pPr>
            <w:r>
              <w:rPr>
                <w:b/>
                <w:color w:val="2E75B6"/>
              </w:rPr>
              <w:t xml:space="preserve">Data modeling note  </w:t>
            </w:r>
            <w:r>
              <w:rPr>
                <w:sz w:val="20"/>
              </w:rPr>
              <w:t>The final Gold dataset is aggregated by loan grade, risk bucket, and loan intent. It is a snapshot of the supplied dataset; it is not monthly because the source contains no reporting or origination date.</w:t>
            </w:r>
          </w:p>
        </w:tc>
      </w:tr>
    </w:tbl>
    <w:p w14:paraId="2D7C6ED6" w14:textId="77777777" w:rsidR="00E23BCE" w:rsidRDefault="00E23BCE">
      <w:pPr>
        <w:spacing w:after="40"/>
      </w:pPr>
    </w:p>
    <w:p w14:paraId="19B4C137" w14:textId="77777777" w:rsidR="00E23BCE" w:rsidRDefault="00000000">
      <w:pPr>
        <w:pStyle w:val="Heading2"/>
      </w:pPr>
      <w:r>
        <w:t>Step 2 — Upload the raw file to the Bronze layer</w:t>
      </w:r>
    </w:p>
    <w:p w14:paraId="46651AAB" w14:textId="77777777" w:rsidR="00E23BCE" w:rsidRDefault="00000000">
      <w:r>
        <w:t>The upload script uses boto3 to connect to LocalStack on port 4566, creates the credit-risk-data bucket when necessary, and uploads the raw CSV under raw/credit_risk_dataset.csv.</w:t>
      </w:r>
    </w:p>
    <w:p w14:paraId="2FBCFB19" w14:textId="77777777" w:rsidR="00E23BCE" w:rsidRDefault="00000000">
      <w:pPr>
        <w:shd w:val="clear" w:color="auto" w:fill="EEF2F6"/>
        <w:spacing w:before="60" w:after="160" w:line="240" w:lineRule="auto"/>
        <w:ind w:left="173" w:right="173"/>
      </w:pPr>
      <w:r>
        <w:rPr>
          <w:rFonts w:ascii="Consolas" w:hAnsi="Consolas"/>
          <w:color w:val="263238"/>
          <w:sz w:val="17"/>
        </w:rPr>
        <w:t>python Scripts\upload_to_s3.py</w:t>
      </w:r>
      <w:r>
        <w:rPr>
          <w:rFonts w:ascii="Consolas" w:hAnsi="Consolas"/>
          <w:color w:val="263238"/>
          <w:sz w:val="17"/>
        </w:rPr>
        <w:br/>
      </w:r>
      <w:r>
        <w:rPr>
          <w:rFonts w:ascii="Consolas" w:hAnsi="Consolas"/>
          <w:color w:val="263238"/>
          <w:sz w:val="17"/>
        </w:rPr>
        <w:br/>
        <w:t>s3://credit-risk-data/raw/credit_risk_dataset.csv</w:t>
      </w:r>
    </w:p>
    <w:p w14:paraId="7FF9B3E9" w14:textId="77777777" w:rsidR="00E23BCE" w:rsidRDefault="00000000">
      <w:pPr>
        <w:pStyle w:val="ListBullet"/>
      </w:pPr>
      <w:r>
        <w:t>Preserves the raw source as the Bronze layer.</w:t>
      </w:r>
    </w:p>
    <w:p w14:paraId="2977FCF0" w14:textId="77777777" w:rsidR="00E23BCE" w:rsidRDefault="00000000">
      <w:pPr>
        <w:pStyle w:val="ListBullet"/>
      </w:pPr>
      <w:r>
        <w:t>Uses test credentials and path-style S3 access for LocalStack.</w:t>
      </w:r>
    </w:p>
    <w:p w14:paraId="7B2F506F" w14:textId="77777777" w:rsidR="00E23BCE" w:rsidRDefault="00000000">
      <w:pPr>
        <w:pStyle w:val="ListBullet"/>
      </w:pPr>
      <w:r>
        <w:t>Separates ingestion from downstream transformation logic.</w:t>
      </w:r>
    </w:p>
    <w:p w14:paraId="612DBCF1" w14:textId="77777777" w:rsidR="00E23BCE" w:rsidRDefault="00000000">
      <w:pPr>
        <w:pStyle w:val="Heading2"/>
      </w:pPr>
      <w:r>
        <w:t>Step 3 — Build the Silver layer with PySpark</w:t>
      </w:r>
    </w:p>
    <w:p w14:paraId="32B644E4" w14:textId="77777777" w:rsidR="00E23BCE" w:rsidRDefault="00000000">
      <w:r>
        <w:t>Spark reads the Bronze CSV through the S3A connector, validates and converts data types, derives risk attributes, and writes clean Parquet files to the processed prefix.</w:t>
      </w:r>
    </w:p>
    <w:p w14:paraId="157DA26B" w14:textId="77777777" w:rsidR="00E23BCE" w:rsidRDefault="00000000">
      <w:pPr>
        <w:shd w:val="clear" w:color="auto" w:fill="EEF2F6"/>
        <w:spacing w:before="60" w:after="160" w:line="240" w:lineRule="auto"/>
        <w:ind w:left="173" w:right="173"/>
      </w:pPr>
      <w:r>
        <w:rPr>
          <w:rFonts w:ascii="Consolas" w:hAnsi="Consolas"/>
          <w:color w:val="263238"/>
          <w:sz w:val="17"/>
        </w:rPr>
        <w:t>docker compose exec spark /opt/spark/bin/spark-submit \</w:t>
      </w:r>
      <w:r>
        <w:rPr>
          <w:rFonts w:ascii="Consolas" w:hAnsi="Consolas"/>
          <w:color w:val="263238"/>
          <w:sz w:val="17"/>
        </w:rPr>
        <w:br/>
        <w:t>+  --packages org.apache.hadoop:hadoop-aws:3.4.2,software.amazon.awssdk:bundle:2.29.52 \</w:t>
      </w:r>
      <w:r>
        <w:rPr>
          <w:rFonts w:ascii="Consolas" w:hAnsi="Consolas"/>
          <w:color w:val="263238"/>
          <w:sz w:val="17"/>
        </w:rPr>
        <w:br/>
        <w:t>+  /opt/project/Scripts/credit_risk_etl.py</w:t>
      </w:r>
    </w:p>
    <w:p w14:paraId="0FCC9035" w14:textId="77777777" w:rsidR="00E23BCE" w:rsidRDefault="00000000">
      <w:pPr>
        <w:pStyle w:val="ListBullet"/>
      </w:pPr>
      <w:r>
        <w:t>Output: s3a://credit-risk-data/processed/</w:t>
      </w:r>
    </w:p>
    <w:p w14:paraId="35C4F09C" w14:textId="77777777" w:rsidR="00E23BCE" w:rsidRDefault="00000000">
      <w:pPr>
        <w:pStyle w:val="ListBullet"/>
      </w:pPr>
      <w:r>
        <w:t>Storage format: Snappy-compressed Parquet</w:t>
      </w:r>
    </w:p>
    <w:p w14:paraId="5F4F62B7" w14:textId="77777777" w:rsidR="00E23BCE" w:rsidRDefault="00000000">
      <w:pPr>
        <w:pStyle w:val="ListBullet"/>
      </w:pPr>
      <w:r>
        <w:t>Partition strategy: loan_grade=A through loan_grade=G</w:t>
      </w:r>
    </w:p>
    <w:p w14:paraId="038B02B7" w14:textId="77777777" w:rsidR="00E23BCE" w:rsidRDefault="00000000">
      <w:r>
        <w:br w:type="page"/>
      </w:r>
    </w:p>
    <w:p w14:paraId="06F3E01B" w14:textId="77777777" w:rsidR="00E23BCE" w:rsidRDefault="00000000">
      <w:pPr>
        <w:pStyle w:val="Heading2"/>
      </w:pPr>
      <w:r>
        <w:lastRenderedPageBreak/>
        <w:t>Step 4 — Build the Gold risk summary</w:t>
      </w:r>
    </w:p>
    <w:p w14:paraId="54E91312" w14:textId="77777777" w:rsidR="00E23BCE" w:rsidRDefault="00000000">
      <w:r>
        <w:t>The Gold job reads the Silver Parquet data and groups it by loan grade, risk bucket, and loan intent. It produces reusable business metrics for reporting.</w:t>
      </w:r>
    </w:p>
    <w:tbl>
      <w:tblPr>
        <w:tblW w:w="9360" w:type="dxa"/>
        <w:jc w:val="center"/>
        <w:tblLayout w:type="fixed"/>
        <w:tblLook w:val="04A0" w:firstRow="1" w:lastRow="0" w:firstColumn="1" w:lastColumn="0" w:noHBand="0" w:noVBand="1"/>
      </w:tblPr>
      <w:tblGrid>
        <w:gridCol w:w="3300"/>
        <w:gridCol w:w="6060"/>
      </w:tblGrid>
      <w:tr w:rsidR="00E23BCE" w14:paraId="3ABFCEFA" w14:textId="77777777">
        <w:trPr>
          <w:tblHeader/>
          <w:jc w:val="center"/>
        </w:trPr>
        <w:tc>
          <w:tcPr>
            <w:tcW w:w="3300" w:type="dxa"/>
            <w:shd w:val="clear" w:color="auto" w:fill="17365D"/>
            <w:tcMar>
              <w:top w:w="100" w:type="dxa"/>
              <w:left w:w="130" w:type="dxa"/>
              <w:bottom w:w="100" w:type="dxa"/>
              <w:right w:w="130" w:type="dxa"/>
            </w:tcMar>
            <w:vAlign w:val="center"/>
          </w:tcPr>
          <w:p w14:paraId="0C8D7A46" w14:textId="77777777" w:rsidR="00E23BCE" w:rsidRDefault="00000000">
            <w:r>
              <w:rPr>
                <w:b/>
                <w:color w:val="FFFFFF"/>
                <w:sz w:val="18"/>
              </w:rPr>
              <w:t>Gold field</w:t>
            </w:r>
          </w:p>
        </w:tc>
        <w:tc>
          <w:tcPr>
            <w:tcW w:w="6060" w:type="dxa"/>
            <w:shd w:val="clear" w:color="auto" w:fill="17365D"/>
            <w:tcMar>
              <w:top w:w="100" w:type="dxa"/>
              <w:left w:w="130" w:type="dxa"/>
              <w:bottom w:w="100" w:type="dxa"/>
              <w:right w:w="130" w:type="dxa"/>
            </w:tcMar>
            <w:vAlign w:val="center"/>
          </w:tcPr>
          <w:p w14:paraId="2A989604" w14:textId="77777777" w:rsidR="00E23BCE" w:rsidRDefault="00000000">
            <w:r>
              <w:rPr>
                <w:b/>
                <w:color w:val="FFFFFF"/>
                <w:sz w:val="18"/>
              </w:rPr>
              <w:t>Business meaning</w:t>
            </w:r>
          </w:p>
        </w:tc>
      </w:tr>
      <w:tr w:rsidR="00E23BCE" w14:paraId="6EB90D45" w14:textId="77777777">
        <w:trPr>
          <w:jc w:val="center"/>
        </w:trPr>
        <w:tc>
          <w:tcPr>
            <w:tcW w:w="3300" w:type="dxa"/>
            <w:tcMar>
              <w:top w:w="100" w:type="dxa"/>
              <w:left w:w="130" w:type="dxa"/>
              <w:bottom w:w="100" w:type="dxa"/>
              <w:right w:w="130" w:type="dxa"/>
            </w:tcMar>
            <w:vAlign w:val="center"/>
          </w:tcPr>
          <w:p w14:paraId="6B741726" w14:textId="77777777" w:rsidR="00E23BCE" w:rsidRDefault="00000000">
            <w:r>
              <w:rPr>
                <w:rFonts w:ascii="Consolas" w:hAnsi="Consolas"/>
                <w:b/>
                <w:color w:val="17365D"/>
                <w:sz w:val="17"/>
              </w:rPr>
              <w:t>total_loans</w:t>
            </w:r>
          </w:p>
        </w:tc>
        <w:tc>
          <w:tcPr>
            <w:tcW w:w="6060" w:type="dxa"/>
            <w:tcMar>
              <w:top w:w="100" w:type="dxa"/>
              <w:left w:w="130" w:type="dxa"/>
              <w:bottom w:w="100" w:type="dxa"/>
              <w:right w:w="130" w:type="dxa"/>
            </w:tcMar>
            <w:vAlign w:val="center"/>
          </w:tcPr>
          <w:p w14:paraId="5FA8EDD6" w14:textId="77777777" w:rsidR="00E23BCE" w:rsidRDefault="00000000">
            <w:r>
              <w:rPr>
                <w:sz w:val="18"/>
              </w:rPr>
              <w:t>Count of loans in the segment</w:t>
            </w:r>
          </w:p>
        </w:tc>
      </w:tr>
      <w:tr w:rsidR="00E23BCE" w14:paraId="4CC7D1C6" w14:textId="77777777">
        <w:trPr>
          <w:jc w:val="center"/>
        </w:trPr>
        <w:tc>
          <w:tcPr>
            <w:tcW w:w="3300" w:type="dxa"/>
            <w:tcMar>
              <w:top w:w="100" w:type="dxa"/>
              <w:left w:w="130" w:type="dxa"/>
              <w:bottom w:w="100" w:type="dxa"/>
              <w:right w:w="130" w:type="dxa"/>
            </w:tcMar>
            <w:vAlign w:val="center"/>
          </w:tcPr>
          <w:p w14:paraId="4C3F0ACC" w14:textId="77777777" w:rsidR="00E23BCE" w:rsidRDefault="00000000">
            <w:r>
              <w:rPr>
                <w:rFonts w:ascii="Consolas" w:hAnsi="Consolas"/>
                <w:b/>
                <w:color w:val="17365D"/>
                <w:sz w:val="17"/>
              </w:rPr>
              <w:t>defaulted_loans</w:t>
            </w:r>
          </w:p>
        </w:tc>
        <w:tc>
          <w:tcPr>
            <w:tcW w:w="6060" w:type="dxa"/>
            <w:tcMar>
              <w:top w:w="100" w:type="dxa"/>
              <w:left w:w="130" w:type="dxa"/>
              <w:bottom w:w="100" w:type="dxa"/>
              <w:right w:w="130" w:type="dxa"/>
            </w:tcMar>
            <w:vAlign w:val="center"/>
          </w:tcPr>
          <w:p w14:paraId="298E2255" w14:textId="77777777" w:rsidR="00E23BCE" w:rsidRDefault="00000000">
            <w:r>
              <w:rPr>
                <w:sz w:val="18"/>
              </w:rPr>
              <w:t>Sum of loans marked as defaulted</w:t>
            </w:r>
          </w:p>
        </w:tc>
      </w:tr>
      <w:tr w:rsidR="00E23BCE" w14:paraId="3FAF4B74" w14:textId="77777777">
        <w:trPr>
          <w:jc w:val="center"/>
        </w:trPr>
        <w:tc>
          <w:tcPr>
            <w:tcW w:w="3300" w:type="dxa"/>
            <w:tcMar>
              <w:top w:w="100" w:type="dxa"/>
              <w:left w:w="130" w:type="dxa"/>
              <w:bottom w:w="100" w:type="dxa"/>
              <w:right w:w="130" w:type="dxa"/>
            </w:tcMar>
            <w:vAlign w:val="center"/>
          </w:tcPr>
          <w:p w14:paraId="28C769EE" w14:textId="77777777" w:rsidR="00E23BCE" w:rsidRDefault="00000000">
            <w:r>
              <w:rPr>
                <w:rFonts w:ascii="Consolas" w:hAnsi="Consolas"/>
                <w:b/>
                <w:color w:val="17365D"/>
                <w:sz w:val="17"/>
              </w:rPr>
              <w:t>default_rate_pct</w:t>
            </w:r>
          </w:p>
        </w:tc>
        <w:tc>
          <w:tcPr>
            <w:tcW w:w="6060" w:type="dxa"/>
            <w:tcMar>
              <w:top w:w="100" w:type="dxa"/>
              <w:left w:w="130" w:type="dxa"/>
              <w:bottom w:w="100" w:type="dxa"/>
              <w:right w:w="130" w:type="dxa"/>
            </w:tcMar>
            <w:vAlign w:val="center"/>
          </w:tcPr>
          <w:p w14:paraId="05379081" w14:textId="77777777" w:rsidR="00E23BCE" w:rsidRDefault="00000000">
            <w:r>
              <w:rPr>
                <w:sz w:val="18"/>
              </w:rPr>
              <w:t>Defaulted loans divided by total loans</w:t>
            </w:r>
          </w:p>
        </w:tc>
      </w:tr>
      <w:tr w:rsidR="00E23BCE" w14:paraId="3E0D0A6D" w14:textId="77777777">
        <w:trPr>
          <w:jc w:val="center"/>
        </w:trPr>
        <w:tc>
          <w:tcPr>
            <w:tcW w:w="3300" w:type="dxa"/>
            <w:tcMar>
              <w:top w:w="100" w:type="dxa"/>
              <w:left w:w="130" w:type="dxa"/>
              <w:bottom w:w="100" w:type="dxa"/>
              <w:right w:w="130" w:type="dxa"/>
            </w:tcMar>
            <w:vAlign w:val="center"/>
          </w:tcPr>
          <w:p w14:paraId="42EE6986" w14:textId="77777777" w:rsidR="00E23BCE" w:rsidRDefault="00000000">
            <w:r>
              <w:rPr>
                <w:rFonts w:ascii="Consolas" w:hAnsi="Consolas"/>
                <w:b/>
                <w:color w:val="17365D"/>
                <w:sz w:val="17"/>
              </w:rPr>
              <w:t>total_loan_amount</w:t>
            </w:r>
          </w:p>
        </w:tc>
        <w:tc>
          <w:tcPr>
            <w:tcW w:w="6060" w:type="dxa"/>
            <w:tcMar>
              <w:top w:w="100" w:type="dxa"/>
              <w:left w:w="130" w:type="dxa"/>
              <w:bottom w:w="100" w:type="dxa"/>
              <w:right w:w="130" w:type="dxa"/>
            </w:tcMar>
            <w:vAlign w:val="center"/>
          </w:tcPr>
          <w:p w14:paraId="4F52FEFD" w14:textId="77777777" w:rsidR="00E23BCE" w:rsidRDefault="00000000">
            <w:r>
              <w:rPr>
                <w:sz w:val="18"/>
              </w:rPr>
              <w:t>Total dollar exposure</w:t>
            </w:r>
          </w:p>
        </w:tc>
      </w:tr>
      <w:tr w:rsidR="00E23BCE" w14:paraId="62FB3E2C" w14:textId="77777777">
        <w:trPr>
          <w:jc w:val="center"/>
        </w:trPr>
        <w:tc>
          <w:tcPr>
            <w:tcW w:w="3300" w:type="dxa"/>
            <w:tcMar>
              <w:top w:w="100" w:type="dxa"/>
              <w:left w:w="130" w:type="dxa"/>
              <w:bottom w:w="100" w:type="dxa"/>
              <w:right w:w="130" w:type="dxa"/>
            </w:tcMar>
            <w:vAlign w:val="center"/>
          </w:tcPr>
          <w:p w14:paraId="1555BB43" w14:textId="77777777" w:rsidR="00E23BCE" w:rsidRDefault="00000000">
            <w:r>
              <w:rPr>
                <w:rFonts w:ascii="Consolas" w:hAnsi="Consolas"/>
                <w:b/>
                <w:color w:val="17365D"/>
                <w:sz w:val="17"/>
              </w:rPr>
              <w:t>avg_loan_amount</w:t>
            </w:r>
          </w:p>
        </w:tc>
        <w:tc>
          <w:tcPr>
            <w:tcW w:w="6060" w:type="dxa"/>
            <w:tcMar>
              <w:top w:w="100" w:type="dxa"/>
              <w:left w:w="130" w:type="dxa"/>
              <w:bottom w:w="100" w:type="dxa"/>
              <w:right w:w="130" w:type="dxa"/>
            </w:tcMar>
            <w:vAlign w:val="center"/>
          </w:tcPr>
          <w:p w14:paraId="14FDADA5" w14:textId="77777777" w:rsidR="00E23BCE" w:rsidRDefault="00000000">
            <w:r>
              <w:rPr>
                <w:sz w:val="18"/>
              </w:rPr>
              <w:t>Average loan size</w:t>
            </w:r>
          </w:p>
        </w:tc>
      </w:tr>
      <w:tr w:rsidR="00E23BCE" w14:paraId="377FBD63" w14:textId="77777777">
        <w:trPr>
          <w:jc w:val="center"/>
        </w:trPr>
        <w:tc>
          <w:tcPr>
            <w:tcW w:w="3300" w:type="dxa"/>
            <w:tcMar>
              <w:top w:w="100" w:type="dxa"/>
              <w:left w:w="130" w:type="dxa"/>
              <w:bottom w:w="100" w:type="dxa"/>
              <w:right w:w="130" w:type="dxa"/>
            </w:tcMar>
            <w:vAlign w:val="center"/>
          </w:tcPr>
          <w:p w14:paraId="5B8D16C4" w14:textId="77777777" w:rsidR="00E23BCE" w:rsidRDefault="00000000">
            <w:r>
              <w:rPr>
                <w:rFonts w:ascii="Consolas" w:hAnsi="Consolas"/>
                <w:b/>
                <w:color w:val="17365D"/>
                <w:sz w:val="17"/>
              </w:rPr>
              <w:t>avg_interest_rate</w:t>
            </w:r>
          </w:p>
        </w:tc>
        <w:tc>
          <w:tcPr>
            <w:tcW w:w="6060" w:type="dxa"/>
            <w:tcMar>
              <w:top w:w="100" w:type="dxa"/>
              <w:left w:w="130" w:type="dxa"/>
              <w:bottom w:w="100" w:type="dxa"/>
              <w:right w:w="130" w:type="dxa"/>
            </w:tcMar>
            <w:vAlign w:val="center"/>
          </w:tcPr>
          <w:p w14:paraId="4EAF55E9" w14:textId="77777777" w:rsidR="00E23BCE" w:rsidRDefault="00000000">
            <w:r>
              <w:rPr>
                <w:sz w:val="18"/>
              </w:rPr>
              <w:t>Average interest rate</w:t>
            </w:r>
          </w:p>
        </w:tc>
      </w:tr>
      <w:tr w:rsidR="00E23BCE" w14:paraId="764047B4" w14:textId="77777777">
        <w:trPr>
          <w:jc w:val="center"/>
        </w:trPr>
        <w:tc>
          <w:tcPr>
            <w:tcW w:w="3300" w:type="dxa"/>
            <w:tcMar>
              <w:top w:w="100" w:type="dxa"/>
              <w:left w:w="130" w:type="dxa"/>
              <w:bottom w:w="100" w:type="dxa"/>
              <w:right w:w="130" w:type="dxa"/>
            </w:tcMar>
            <w:vAlign w:val="center"/>
          </w:tcPr>
          <w:p w14:paraId="3A914E77" w14:textId="77777777" w:rsidR="00E23BCE" w:rsidRDefault="00000000">
            <w:r>
              <w:rPr>
                <w:rFonts w:ascii="Consolas" w:hAnsi="Consolas"/>
                <w:b/>
                <w:color w:val="17365D"/>
                <w:sz w:val="17"/>
              </w:rPr>
              <w:t>avg_person_income</w:t>
            </w:r>
          </w:p>
        </w:tc>
        <w:tc>
          <w:tcPr>
            <w:tcW w:w="6060" w:type="dxa"/>
            <w:tcMar>
              <w:top w:w="100" w:type="dxa"/>
              <w:left w:w="130" w:type="dxa"/>
              <w:bottom w:w="100" w:type="dxa"/>
              <w:right w:w="130" w:type="dxa"/>
            </w:tcMar>
            <w:vAlign w:val="center"/>
          </w:tcPr>
          <w:p w14:paraId="737BFA5A" w14:textId="77777777" w:rsidR="00E23BCE" w:rsidRDefault="00000000">
            <w:r>
              <w:rPr>
                <w:sz w:val="18"/>
              </w:rPr>
              <w:t>Average borrower income</w:t>
            </w:r>
          </w:p>
        </w:tc>
      </w:tr>
      <w:tr w:rsidR="00E23BCE" w14:paraId="644FAC63" w14:textId="77777777">
        <w:trPr>
          <w:jc w:val="center"/>
        </w:trPr>
        <w:tc>
          <w:tcPr>
            <w:tcW w:w="3300" w:type="dxa"/>
            <w:tcMar>
              <w:top w:w="100" w:type="dxa"/>
              <w:left w:w="130" w:type="dxa"/>
              <w:bottom w:w="100" w:type="dxa"/>
              <w:right w:w="130" w:type="dxa"/>
            </w:tcMar>
            <w:vAlign w:val="center"/>
          </w:tcPr>
          <w:p w14:paraId="1B0BABB8" w14:textId="77777777" w:rsidR="00E23BCE" w:rsidRDefault="00000000">
            <w:r>
              <w:rPr>
                <w:rFonts w:ascii="Consolas" w:hAnsi="Consolas"/>
                <w:b/>
                <w:color w:val="17365D"/>
                <w:sz w:val="17"/>
              </w:rPr>
              <w:t>high_default_flag</w:t>
            </w:r>
          </w:p>
        </w:tc>
        <w:tc>
          <w:tcPr>
            <w:tcW w:w="6060" w:type="dxa"/>
            <w:tcMar>
              <w:top w:w="100" w:type="dxa"/>
              <w:left w:w="130" w:type="dxa"/>
              <w:bottom w:w="100" w:type="dxa"/>
              <w:right w:w="130" w:type="dxa"/>
            </w:tcMar>
            <w:vAlign w:val="center"/>
          </w:tcPr>
          <w:p w14:paraId="29C777E7" w14:textId="77777777" w:rsidR="00E23BCE" w:rsidRDefault="00000000">
            <w:r>
              <w:rPr>
                <w:sz w:val="18"/>
              </w:rPr>
              <w:t>Flags segment default rates at or above 25%</w:t>
            </w:r>
          </w:p>
        </w:tc>
      </w:tr>
    </w:tbl>
    <w:p w14:paraId="5F953924" w14:textId="77777777" w:rsidR="00E23BCE" w:rsidRDefault="00000000">
      <w:pPr>
        <w:shd w:val="clear" w:color="auto" w:fill="EEF2F6"/>
        <w:spacing w:before="60" w:after="160" w:line="240" w:lineRule="auto"/>
        <w:ind w:left="173" w:right="173"/>
      </w:pPr>
      <w:r>
        <w:rPr>
          <w:rFonts w:ascii="Consolas" w:hAnsi="Consolas"/>
          <w:color w:val="263238"/>
          <w:sz w:val="17"/>
        </w:rPr>
        <w:t>s3a://credit-risk-data/gold/loan_risk_summary/</w:t>
      </w:r>
      <w:r>
        <w:rPr>
          <w:rFonts w:ascii="Consolas" w:hAnsi="Consolas"/>
          <w:color w:val="263238"/>
          <w:sz w:val="17"/>
        </w:rPr>
        <w:br/>
        <w:t xml:space="preserve">  loan_grade=A/part-....snappy.parquet</w:t>
      </w:r>
      <w:r>
        <w:rPr>
          <w:rFonts w:ascii="Consolas" w:hAnsi="Consolas"/>
          <w:color w:val="263238"/>
          <w:sz w:val="17"/>
        </w:rPr>
        <w:br/>
        <w:t xml:space="preserve">  ...</w:t>
      </w:r>
      <w:r>
        <w:rPr>
          <w:rFonts w:ascii="Consolas" w:hAnsi="Consolas"/>
          <w:color w:val="263238"/>
          <w:sz w:val="17"/>
        </w:rPr>
        <w:br/>
        <w:t xml:space="preserve">  loan_grade=G/part-....snappy.parquet</w:t>
      </w:r>
    </w:p>
    <w:p w14:paraId="7ABDF87C" w14:textId="77777777" w:rsidR="00E23BCE" w:rsidRDefault="00000000">
      <w:pPr>
        <w:pStyle w:val="Heading2"/>
      </w:pPr>
      <w:r>
        <w:t>Step 5 — Export Gold data for Power BI</w:t>
      </w:r>
    </w:p>
    <w:p w14:paraId="64F2A827" w14:textId="77777777" w:rsidR="00E23BCE" w:rsidRDefault="00000000">
      <w:r>
        <w:t>A dedicated Spark export job reads the Gold Parquet dataset, coalesces the result to a single partition, and writes a header-enabled CSV into a Docker-mounted PowerBI folder.</w:t>
      </w:r>
    </w:p>
    <w:p w14:paraId="4C29CACA" w14:textId="77777777" w:rsidR="00E23BCE" w:rsidRDefault="00000000">
      <w:pPr>
        <w:shd w:val="clear" w:color="auto" w:fill="EEF2F6"/>
        <w:spacing w:before="60" w:after="160" w:line="240" w:lineRule="auto"/>
        <w:ind w:left="173" w:right="173"/>
      </w:pPr>
      <w:r>
        <w:rPr>
          <w:rFonts w:ascii="Consolas" w:hAnsi="Consolas"/>
          <w:color w:val="263238"/>
          <w:sz w:val="17"/>
        </w:rPr>
        <w:t>docker compose exec spark /opt/spark/bin/spark-submit \</w:t>
      </w:r>
      <w:r>
        <w:rPr>
          <w:rFonts w:ascii="Consolas" w:hAnsi="Consolas"/>
          <w:color w:val="263238"/>
          <w:sz w:val="17"/>
        </w:rPr>
        <w:br/>
        <w:t>+  --packages org.apache.hadoop:hadoop-aws:3.4.2,software.amazon.awssdk:bundle:2.29.52 \</w:t>
      </w:r>
      <w:r>
        <w:rPr>
          <w:rFonts w:ascii="Consolas" w:hAnsi="Consolas"/>
          <w:color w:val="263238"/>
          <w:sz w:val="17"/>
        </w:rPr>
        <w:br/>
        <w:t>+  /opt/project/Scripts/export_gold_csv.py</w:t>
      </w:r>
      <w:r>
        <w:rPr>
          <w:rFonts w:ascii="Consolas" w:hAnsi="Consolas"/>
          <w:color w:val="263238"/>
          <w:sz w:val="17"/>
        </w:rPr>
        <w:br/>
      </w:r>
      <w:r>
        <w:rPr>
          <w:rFonts w:ascii="Consolas" w:hAnsi="Consolas"/>
          <w:color w:val="263238"/>
          <w:sz w:val="17"/>
        </w:rPr>
        <w:br/>
        <w:t>PowerBI\CreditRiskGold\part-00000-....csv</w:t>
      </w:r>
    </w:p>
    <w:tbl>
      <w:tblPr>
        <w:tblW w:w="9360" w:type="dxa"/>
        <w:jc w:val="center"/>
        <w:tblLayout w:type="fixed"/>
        <w:tblLook w:val="04A0" w:firstRow="1" w:lastRow="0" w:firstColumn="1" w:lastColumn="0" w:noHBand="0" w:noVBand="1"/>
      </w:tblPr>
      <w:tblGrid>
        <w:gridCol w:w="9360"/>
      </w:tblGrid>
      <w:tr w:rsidR="00E23BCE" w14:paraId="4005B9F4" w14:textId="77777777">
        <w:trPr>
          <w:jc w:val="center"/>
        </w:trPr>
        <w:tc>
          <w:tcPr>
            <w:tcW w:w="9360" w:type="dxa"/>
            <w:shd w:val="clear" w:color="auto" w:fill="EAF2F8"/>
            <w:tcMar>
              <w:top w:w="100" w:type="dxa"/>
              <w:left w:w="130" w:type="dxa"/>
              <w:bottom w:w="100" w:type="dxa"/>
              <w:right w:w="130" w:type="dxa"/>
            </w:tcMar>
            <w:vAlign w:val="center"/>
          </w:tcPr>
          <w:p w14:paraId="7A55936D" w14:textId="77777777" w:rsidR="00E23BCE" w:rsidRDefault="00000000">
            <w:pPr>
              <w:spacing w:after="40"/>
            </w:pPr>
            <w:r>
              <w:rPr>
                <w:b/>
                <w:color w:val="C56A13"/>
              </w:rPr>
              <w:t xml:space="preserve">Troubleshooting outcome  </w:t>
            </w:r>
            <w:r>
              <w:rPr>
                <w:sz w:val="20"/>
              </w:rPr>
              <w:t>The S3A 403 issue was resolved by aligning the export session with the working Gold configuration. A later PATH_NOT_FOUND error identified that LocalStack had restarted with an empty data volume, so the Bronze → Silver → Gold sequence was rebuilt.</w:t>
            </w:r>
          </w:p>
        </w:tc>
      </w:tr>
    </w:tbl>
    <w:p w14:paraId="36BB9B22" w14:textId="77777777" w:rsidR="00E23BCE" w:rsidRDefault="00E23BCE">
      <w:pPr>
        <w:spacing w:after="40"/>
      </w:pPr>
    </w:p>
    <w:p w14:paraId="563B4ADB" w14:textId="77777777" w:rsidR="00E23BCE" w:rsidRDefault="00000000">
      <w:r>
        <w:br w:type="page"/>
      </w:r>
    </w:p>
    <w:p w14:paraId="3BB395CA" w14:textId="77777777" w:rsidR="00E23BCE" w:rsidRDefault="00000000">
      <w:pPr>
        <w:pStyle w:val="Heading1"/>
      </w:pPr>
      <w:r>
        <w:lastRenderedPageBreak/>
        <w:t>5. Power BI Executive Overview</w:t>
      </w:r>
    </w:p>
    <w:p w14:paraId="7386453D" w14:textId="77777777" w:rsidR="00E23BCE" w:rsidRDefault="00000000">
      <w:r>
        <w:t>The Executive Overview page summarizes portfolio exposure and risk through a small set of interactive visuals. Weighted DAX measures are used instead of averaging already-aggregated percentages.</w:t>
      </w:r>
    </w:p>
    <w:p w14:paraId="011B33B8" w14:textId="77777777" w:rsidR="00E23BCE" w:rsidRDefault="00000000">
      <w:pPr>
        <w:spacing w:before="80" w:after="80"/>
        <w:jc w:val="center"/>
      </w:pPr>
      <w:r>
        <w:rPr>
          <w:noProof/>
        </w:rPr>
        <w:drawing>
          <wp:inline distT="0" distB="0" distL="0" distR="0" wp14:anchorId="50DABF2D" wp14:editId="72E501DA">
            <wp:extent cx="5943600" cy="3435084"/>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dashboard_crop.png"/>
                    <pic:cNvPicPr/>
                  </pic:nvPicPr>
                  <pic:blipFill>
                    <a:blip r:embed="rId13"/>
                    <a:stretch>
                      <a:fillRect/>
                    </a:stretch>
                  </pic:blipFill>
                  <pic:spPr>
                    <a:xfrm>
                      <a:off x="0" y="0"/>
                      <a:ext cx="5943600" cy="3435084"/>
                    </a:xfrm>
                    <a:prstGeom prst="rect">
                      <a:avLst/>
                    </a:prstGeom>
                  </pic:spPr>
                </pic:pic>
              </a:graphicData>
            </a:graphic>
          </wp:inline>
        </w:drawing>
      </w:r>
    </w:p>
    <w:p w14:paraId="0B9BC561" w14:textId="77777777" w:rsidR="00E23BCE" w:rsidRDefault="00000000">
      <w:pPr>
        <w:spacing w:after="160"/>
        <w:jc w:val="center"/>
      </w:pPr>
      <w:r>
        <w:rPr>
          <w:i/>
          <w:color w:val="5B6573"/>
          <w:sz w:val="17"/>
        </w:rPr>
        <w:t>Executive Overview: loan exposure, default performance, grade segmentation, and interactive risk distribution.</w:t>
      </w:r>
    </w:p>
    <w:p w14:paraId="71EFE22B" w14:textId="77777777" w:rsidR="00E23BCE" w:rsidRDefault="00000000">
      <w:pPr>
        <w:pStyle w:val="Heading2"/>
      </w:pPr>
      <w:r>
        <w:t>Visual design</w:t>
      </w:r>
    </w:p>
    <w:p w14:paraId="1AC47F5A" w14:textId="77777777" w:rsidR="00E23BCE" w:rsidRDefault="00000000">
      <w:pPr>
        <w:pStyle w:val="ListBullet"/>
      </w:pPr>
      <w:r>
        <w:t>Horizontal bar chart: total loan amount by loan intent.</w:t>
      </w:r>
    </w:p>
    <w:p w14:paraId="7F5654F7" w14:textId="77777777" w:rsidR="00E23BCE" w:rsidRDefault="00000000">
      <w:pPr>
        <w:pStyle w:val="ListBullet"/>
      </w:pPr>
      <w:r>
        <w:t>Column chart: weighted default rate by loan grade.</w:t>
      </w:r>
    </w:p>
    <w:p w14:paraId="2E068D8E" w14:textId="77777777" w:rsidR="00E23BCE" w:rsidRDefault="00000000">
      <w:pPr>
        <w:pStyle w:val="ListBullet"/>
      </w:pPr>
      <w:r>
        <w:t>Scatter/bubble chart: average interest rate versus default rate, colored by loan grade.</w:t>
      </w:r>
    </w:p>
    <w:p w14:paraId="4C7143F2" w14:textId="77777777" w:rsidR="00E23BCE" w:rsidRDefault="00000000">
      <w:pPr>
        <w:pStyle w:val="ListBullet"/>
      </w:pPr>
      <w:r>
        <w:t>Donut chart: total loans by Low, Medium, and High risk bucket.</w:t>
      </w:r>
    </w:p>
    <w:p w14:paraId="30488012" w14:textId="77777777" w:rsidR="00E23BCE" w:rsidRDefault="00000000">
      <w:pPr>
        <w:pStyle w:val="ListBullet"/>
      </w:pPr>
      <w:r>
        <w:t>Slicers: interest bucket, income bucket, risk bucket, and loan grade.</w:t>
      </w:r>
    </w:p>
    <w:p w14:paraId="6865EE41" w14:textId="77777777" w:rsidR="00E23BCE" w:rsidRDefault="00000000">
      <w:r>
        <w:br w:type="page"/>
      </w:r>
    </w:p>
    <w:p w14:paraId="29722AE7" w14:textId="77777777" w:rsidR="00E23BCE" w:rsidRDefault="00000000">
      <w:pPr>
        <w:pStyle w:val="Heading1"/>
      </w:pPr>
      <w:r>
        <w:lastRenderedPageBreak/>
        <w:t>6. Interactive Risk Analysis</w:t>
      </w:r>
    </w:p>
    <w:p w14:paraId="1BE499FD" w14:textId="77777777" w:rsidR="00E23BCE" w:rsidRDefault="00000000">
      <w:r>
        <w:t>The dashboard supports focused analysis by filtering the entire report. The example below isolates High-risk records, causing each visual to recompute within that segment.</w:t>
      </w:r>
    </w:p>
    <w:p w14:paraId="2BF44FFC" w14:textId="77777777" w:rsidR="00E23BCE" w:rsidRDefault="00000000">
      <w:pPr>
        <w:spacing w:before="80" w:after="80"/>
        <w:jc w:val="center"/>
      </w:pPr>
      <w:r>
        <w:rPr>
          <w:noProof/>
        </w:rPr>
        <w:drawing>
          <wp:inline distT="0" distB="0" distL="0" distR="0" wp14:anchorId="56850699" wp14:editId="485B05E8">
            <wp:extent cx="5943600" cy="3405713"/>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risk_dashboard_crop.png"/>
                    <pic:cNvPicPr/>
                  </pic:nvPicPr>
                  <pic:blipFill>
                    <a:blip r:embed="rId14"/>
                    <a:stretch>
                      <a:fillRect/>
                    </a:stretch>
                  </pic:blipFill>
                  <pic:spPr>
                    <a:xfrm>
                      <a:off x="0" y="0"/>
                      <a:ext cx="5943600" cy="3405713"/>
                    </a:xfrm>
                    <a:prstGeom prst="rect">
                      <a:avLst/>
                    </a:prstGeom>
                  </pic:spPr>
                </pic:pic>
              </a:graphicData>
            </a:graphic>
          </wp:inline>
        </w:drawing>
      </w:r>
    </w:p>
    <w:p w14:paraId="56AD3E8D" w14:textId="77777777" w:rsidR="00E23BCE" w:rsidRDefault="00000000">
      <w:pPr>
        <w:spacing w:after="160"/>
        <w:jc w:val="center"/>
      </w:pPr>
      <w:r>
        <w:rPr>
          <w:i/>
          <w:color w:val="5B6573"/>
          <w:sz w:val="17"/>
        </w:rPr>
        <w:t>High-risk filter applied: the donut becomes 100% High, while the intent, grade, and scatter visuals recalculate for the selected population.</w:t>
      </w:r>
    </w:p>
    <w:p w14:paraId="4F45966A" w14:textId="77777777" w:rsidR="00E23BCE" w:rsidRDefault="00000000">
      <w:pPr>
        <w:pStyle w:val="Heading2"/>
      </w:pPr>
      <w:r>
        <w:t>How to interpret the highlighted point</w:t>
      </w:r>
    </w:p>
    <w:p w14:paraId="3BA84FA1" w14:textId="77777777" w:rsidR="00E23BCE" w:rsidRDefault="00000000">
      <w:r>
        <w:t>For Grade C / High risk / Debt Consolidation, the tooltip shows a 13% average interest rate, an 88.10% default rate, $721,825 in total loan amount, and a $17,186 average loan amount.</w:t>
      </w:r>
    </w:p>
    <w:p w14:paraId="43039547" w14:textId="77777777" w:rsidR="00E23BCE" w:rsidRDefault="00000000">
      <w:pPr>
        <w:shd w:val="clear" w:color="auto" w:fill="EEF2F6"/>
        <w:spacing w:before="60" w:after="160" w:line="240" w:lineRule="auto"/>
        <w:ind w:left="173" w:right="173"/>
      </w:pPr>
      <w:r>
        <w:rPr>
          <w:rFonts w:ascii="Consolas" w:hAnsi="Consolas"/>
          <w:color w:val="263238"/>
          <w:sz w:val="17"/>
        </w:rPr>
        <w:t>$721,825 ÷ $17,186.31 ≈ 42 loans</w:t>
      </w:r>
      <w:r>
        <w:rPr>
          <w:rFonts w:ascii="Consolas" w:hAnsi="Consolas"/>
          <w:color w:val="263238"/>
          <w:sz w:val="17"/>
        </w:rPr>
        <w:br/>
        <w:t>88.10% × 42 loans ≈ 37 defaulted loans</w:t>
      </w:r>
    </w:p>
    <w:tbl>
      <w:tblPr>
        <w:tblW w:w="9360" w:type="dxa"/>
        <w:jc w:val="center"/>
        <w:tblLayout w:type="fixed"/>
        <w:tblLook w:val="04A0" w:firstRow="1" w:lastRow="0" w:firstColumn="1" w:lastColumn="0" w:noHBand="0" w:noVBand="1"/>
      </w:tblPr>
      <w:tblGrid>
        <w:gridCol w:w="9360"/>
      </w:tblGrid>
      <w:tr w:rsidR="00E23BCE" w14:paraId="5A0FE0EC" w14:textId="77777777">
        <w:trPr>
          <w:jc w:val="center"/>
        </w:trPr>
        <w:tc>
          <w:tcPr>
            <w:tcW w:w="9360" w:type="dxa"/>
            <w:shd w:val="clear" w:color="auto" w:fill="EAF2F8"/>
            <w:tcMar>
              <w:top w:w="100" w:type="dxa"/>
              <w:left w:w="130" w:type="dxa"/>
              <w:bottom w:w="100" w:type="dxa"/>
              <w:right w:w="130" w:type="dxa"/>
            </w:tcMar>
            <w:vAlign w:val="center"/>
          </w:tcPr>
          <w:p w14:paraId="7B828AB3" w14:textId="77777777" w:rsidR="00E23BCE" w:rsidRDefault="00000000">
            <w:pPr>
              <w:spacing w:after="40"/>
            </w:pPr>
            <w:r>
              <w:rPr>
                <w:b/>
                <w:color w:val="1B7F5A"/>
              </w:rPr>
              <w:t xml:space="preserve">Validation  </w:t>
            </w:r>
            <w:r>
              <w:rPr>
                <w:sz w:val="20"/>
              </w:rPr>
              <w:t>The relationship among total loan amount, average loan amount, implied loan count, and default rate is internally consistent for this filtered segment.</w:t>
            </w:r>
          </w:p>
        </w:tc>
      </w:tr>
    </w:tbl>
    <w:p w14:paraId="2E34AD27" w14:textId="77777777" w:rsidR="00E23BCE" w:rsidRDefault="00E23BCE">
      <w:pPr>
        <w:spacing w:after="40"/>
      </w:pPr>
    </w:p>
    <w:p w14:paraId="35E38ED4" w14:textId="77777777" w:rsidR="00E23BCE" w:rsidRDefault="00000000">
      <w:r>
        <w:br w:type="page"/>
      </w:r>
    </w:p>
    <w:p w14:paraId="75EB36CD" w14:textId="067F7255" w:rsidR="00E23BCE" w:rsidRDefault="00000000">
      <w:pPr>
        <w:pStyle w:val="Heading1"/>
      </w:pPr>
      <w:r>
        <w:lastRenderedPageBreak/>
        <w:t xml:space="preserve">7. </w:t>
      </w:r>
      <w:r w:rsidR="005555F2">
        <w:t>Report Definition Overviews and Features</w:t>
      </w:r>
    </w:p>
    <w:p w14:paraId="5BA243DE" w14:textId="32A4E137" w:rsidR="00E23BCE" w:rsidRDefault="00000000">
      <w:r>
        <w:t xml:space="preserve">The second report page provides the </w:t>
      </w:r>
      <w:r w:rsidR="005555F2">
        <w:t>details</w:t>
      </w:r>
      <w:r>
        <w:t xml:space="preserve"> behind the visuals</w:t>
      </w:r>
      <w:r w:rsidR="005555F2">
        <w:t xml:space="preserve"> and DAX utilized</w:t>
      </w:r>
      <w:r>
        <w:t>. It is intended for analysts, reviewers, and interviewers who want to inspect segment-level results rather than only summary graphics.</w:t>
      </w:r>
    </w:p>
    <w:p w14:paraId="7B127CFA" w14:textId="77777777" w:rsidR="00E23BCE" w:rsidRDefault="00000000">
      <w:pPr>
        <w:pStyle w:val="Heading2"/>
      </w:pPr>
      <w:r>
        <w:t>Recommended matrix design</w:t>
      </w:r>
    </w:p>
    <w:tbl>
      <w:tblPr>
        <w:tblW w:w="9360" w:type="dxa"/>
        <w:jc w:val="center"/>
        <w:tblLayout w:type="fixed"/>
        <w:tblLook w:val="04A0" w:firstRow="1" w:lastRow="0" w:firstColumn="1" w:lastColumn="0" w:noHBand="0" w:noVBand="1"/>
      </w:tblPr>
      <w:tblGrid>
        <w:gridCol w:w="2200"/>
        <w:gridCol w:w="7160"/>
      </w:tblGrid>
      <w:tr w:rsidR="00E23BCE" w14:paraId="252F4310" w14:textId="77777777">
        <w:trPr>
          <w:tblHeader/>
          <w:jc w:val="center"/>
        </w:trPr>
        <w:tc>
          <w:tcPr>
            <w:tcW w:w="2200" w:type="dxa"/>
            <w:shd w:val="clear" w:color="auto" w:fill="17365D"/>
            <w:tcMar>
              <w:top w:w="100" w:type="dxa"/>
              <w:left w:w="130" w:type="dxa"/>
              <w:bottom w:w="100" w:type="dxa"/>
              <w:right w:w="130" w:type="dxa"/>
            </w:tcMar>
            <w:vAlign w:val="center"/>
          </w:tcPr>
          <w:p w14:paraId="0F518127" w14:textId="77777777" w:rsidR="00E23BCE" w:rsidRDefault="00000000">
            <w:r>
              <w:rPr>
                <w:b/>
                <w:color w:val="FFFFFF"/>
                <w:sz w:val="19"/>
              </w:rPr>
              <w:t>Matrix area</w:t>
            </w:r>
          </w:p>
        </w:tc>
        <w:tc>
          <w:tcPr>
            <w:tcW w:w="7160" w:type="dxa"/>
            <w:shd w:val="clear" w:color="auto" w:fill="17365D"/>
            <w:tcMar>
              <w:top w:w="100" w:type="dxa"/>
              <w:left w:w="130" w:type="dxa"/>
              <w:bottom w:w="100" w:type="dxa"/>
              <w:right w:w="130" w:type="dxa"/>
            </w:tcMar>
            <w:vAlign w:val="center"/>
          </w:tcPr>
          <w:p w14:paraId="44D4723C" w14:textId="77777777" w:rsidR="00E23BCE" w:rsidRDefault="00000000">
            <w:r>
              <w:rPr>
                <w:b/>
                <w:color w:val="FFFFFF"/>
                <w:sz w:val="19"/>
              </w:rPr>
              <w:t>Fields</w:t>
            </w:r>
          </w:p>
        </w:tc>
      </w:tr>
      <w:tr w:rsidR="00E23BCE" w14:paraId="7763CFA2" w14:textId="77777777">
        <w:trPr>
          <w:jc w:val="center"/>
        </w:trPr>
        <w:tc>
          <w:tcPr>
            <w:tcW w:w="2200" w:type="dxa"/>
            <w:tcMar>
              <w:top w:w="100" w:type="dxa"/>
              <w:left w:w="130" w:type="dxa"/>
              <w:bottom w:w="100" w:type="dxa"/>
              <w:right w:w="130" w:type="dxa"/>
            </w:tcMar>
            <w:vAlign w:val="center"/>
          </w:tcPr>
          <w:p w14:paraId="212C796F" w14:textId="77777777" w:rsidR="00E23BCE" w:rsidRDefault="00000000">
            <w:r>
              <w:rPr>
                <w:b/>
                <w:color w:val="17365D"/>
                <w:sz w:val="18"/>
              </w:rPr>
              <w:t>Rows</w:t>
            </w:r>
          </w:p>
        </w:tc>
        <w:tc>
          <w:tcPr>
            <w:tcW w:w="7160" w:type="dxa"/>
            <w:tcMar>
              <w:top w:w="100" w:type="dxa"/>
              <w:left w:w="130" w:type="dxa"/>
              <w:bottom w:w="100" w:type="dxa"/>
              <w:right w:w="130" w:type="dxa"/>
            </w:tcMar>
            <w:vAlign w:val="center"/>
          </w:tcPr>
          <w:p w14:paraId="423B48C7" w14:textId="77777777" w:rsidR="00E23BCE" w:rsidRDefault="00000000">
            <w:r>
              <w:rPr>
                <w:sz w:val="18"/>
              </w:rPr>
              <w:t>Loan Grade → Risk Bucket → Loan Intent</w:t>
            </w:r>
          </w:p>
        </w:tc>
      </w:tr>
      <w:tr w:rsidR="00E23BCE" w14:paraId="5303E3D7" w14:textId="77777777">
        <w:trPr>
          <w:jc w:val="center"/>
        </w:trPr>
        <w:tc>
          <w:tcPr>
            <w:tcW w:w="2200" w:type="dxa"/>
            <w:tcMar>
              <w:top w:w="100" w:type="dxa"/>
              <w:left w:w="130" w:type="dxa"/>
              <w:bottom w:w="100" w:type="dxa"/>
              <w:right w:w="130" w:type="dxa"/>
            </w:tcMar>
            <w:vAlign w:val="center"/>
          </w:tcPr>
          <w:p w14:paraId="4B2175C8" w14:textId="77777777" w:rsidR="00E23BCE" w:rsidRDefault="00000000">
            <w:r>
              <w:rPr>
                <w:b/>
                <w:color w:val="17365D"/>
                <w:sz w:val="18"/>
              </w:rPr>
              <w:t>Values</w:t>
            </w:r>
          </w:p>
        </w:tc>
        <w:tc>
          <w:tcPr>
            <w:tcW w:w="7160" w:type="dxa"/>
            <w:tcMar>
              <w:top w:w="100" w:type="dxa"/>
              <w:left w:w="130" w:type="dxa"/>
              <w:bottom w:w="100" w:type="dxa"/>
              <w:right w:w="130" w:type="dxa"/>
            </w:tcMar>
            <w:vAlign w:val="center"/>
          </w:tcPr>
          <w:p w14:paraId="5DB06447" w14:textId="77777777" w:rsidR="00E23BCE" w:rsidRDefault="00000000">
            <w:r>
              <w:rPr>
                <w:sz w:val="18"/>
              </w:rPr>
              <w:t>Total Loans, Paid Loans, Defaulted Loans, Default Rate</w:t>
            </w:r>
          </w:p>
        </w:tc>
      </w:tr>
      <w:tr w:rsidR="00E23BCE" w14:paraId="72FD0509" w14:textId="77777777">
        <w:trPr>
          <w:jc w:val="center"/>
        </w:trPr>
        <w:tc>
          <w:tcPr>
            <w:tcW w:w="2200" w:type="dxa"/>
            <w:tcMar>
              <w:top w:w="100" w:type="dxa"/>
              <w:left w:w="130" w:type="dxa"/>
              <w:bottom w:w="100" w:type="dxa"/>
              <w:right w:w="130" w:type="dxa"/>
            </w:tcMar>
            <w:vAlign w:val="center"/>
          </w:tcPr>
          <w:p w14:paraId="57488619" w14:textId="77777777" w:rsidR="00E23BCE" w:rsidRDefault="00000000">
            <w:r>
              <w:rPr>
                <w:b/>
                <w:color w:val="17365D"/>
                <w:sz w:val="18"/>
              </w:rPr>
              <w:t>Exposure</w:t>
            </w:r>
          </w:p>
        </w:tc>
        <w:tc>
          <w:tcPr>
            <w:tcW w:w="7160" w:type="dxa"/>
            <w:tcMar>
              <w:top w:w="100" w:type="dxa"/>
              <w:left w:w="130" w:type="dxa"/>
              <w:bottom w:w="100" w:type="dxa"/>
              <w:right w:w="130" w:type="dxa"/>
            </w:tcMar>
            <w:vAlign w:val="center"/>
          </w:tcPr>
          <w:p w14:paraId="144D4281" w14:textId="77777777" w:rsidR="00E23BCE" w:rsidRDefault="00000000">
            <w:r>
              <w:rPr>
                <w:sz w:val="18"/>
              </w:rPr>
              <w:t>Total Loan Amount and Average Loan Amount</w:t>
            </w:r>
          </w:p>
        </w:tc>
      </w:tr>
      <w:tr w:rsidR="00E23BCE" w14:paraId="3768466B" w14:textId="77777777">
        <w:trPr>
          <w:jc w:val="center"/>
        </w:trPr>
        <w:tc>
          <w:tcPr>
            <w:tcW w:w="2200" w:type="dxa"/>
            <w:tcMar>
              <w:top w:w="100" w:type="dxa"/>
              <w:left w:w="130" w:type="dxa"/>
              <w:bottom w:w="100" w:type="dxa"/>
              <w:right w:w="130" w:type="dxa"/>
            </w:tcMar>
            <w:vAlign w:val="center"/>
          </w:tcPr>
          <w:p w14:paraId="6FB7109E" w14:textId="77777777" w:rsidR="00E23BCE" w:rsidRDefault="00000000">
            <w:r>
              <w:rPr>
                <w:b/>
                <w:color w:val="17365D"/>
                <w:sz w:val="18"/>
              </w:rPr>
              <w:t>Borrower profile</w:t>
            </w:r>
          </w:p>
        </w:tc>
        <w:tc>
          <w:tcPr>
            <w:tcW w:w="7160" w:type="dxa"/>
            <w:tcMar>
              <w:top w:w="100" w:type="dxa"/>
              <w:left w:w="130" w:type="dxa"/>
              <w:bottom w:w="100" w:type="dxa"/>
              <w:right w:w="130" w:type="dxa"/>
            </w:tcMar>
            <w:vAlign w:val="center"/>
          </w:tcPr>
          <w:p w14:paraId="5D058265" w14:textId="77777777" w:rsidR="00E23BCE" w:rsidRDefault="00000000">
            <w:r>
              <w:rPr>
                <w:sz w:val="18"/>
              </w:rPr>
              <w:t>Average Interest Rate and Average Borrower Income</w:t>
            </w:r>
          </w:p>
        </w:tc>
      </w:tr>
      <w:tr w:rsidR="00E23BCE" w14:paraId="631AF73E" w14:textId="77777777">
        <w:trPr>
          <w:jc w:val="center"/>
        </w:trPr>
        <w:tc>
          <w:tcPr>
            <w:tcW w:w="2200" w:type="dxa"/>
            <w:tcMar>
              <w:top w:w="100" w:type="dxa"/>
              <w:left w:w="130" w:type="dxa"/>
              <w:bottom w:w="100" w:type="dxa"/>
              <w:right w:w="130" w:type="dxa"/>
            </w:tcMar>
            <w:vAlign w:val="center"/>
          </w:tcPr>
          <w:p w14:paraId="366235A9" w14:textId="77777777" w:rsidR="00E23BCE" w:rsidRDefault="00000000">
            <w:r>
              <w:rPr>
                <w:b/>
                <w:color w:val="17365D"/>
                <w:sz w:val="18"/>
              </w:rPr>
              <w:t>Formatting</w:t>
            </w:r>
          </w:p>
        </w:tc>
        <w:tc>
          <w:tcPr>
            <w:tcW w:w="7160" w:type="dxa"/>
            <w:tcMar>
              <w:top w:w="100" w:type="dxa"/>
              <w:left w:w="130" w:type="dxa"/>
              <w:bottom w:w="100" w:type="dxa"/>
              <w:right w:w="130" w:type="dxa"/>
            </w:tcMar>
            <w:vAlign w:val="center"/>
          </w:tcPr>
          <w:p w14:paraId="70B17679" w14:textId="77777777" w:rsidR="00E23BCE" w:rsidRDefault="00000000">
            <w:r>
              <w:rPr>
                <w:sz w:val="18"/>
              </w:rPr>
              <w:t>Centered values, data bars, and default-rate color scale</w:t>
            </w:r>
          </w:p>
        </w:tc>
      </w:tr>
    </w:tbl>
    <w:p w14:paraId="1C8BE5F5" w14:textId="77777777" w:rsidR="00E23BCE" w:rsidRDefault="00000000">
      <w:pPr>
        <w:pStyle w:val="Heading2"/>
      </w:pPr>
      <w:r>
        <w:t>Power Query enhancements</w:t>
      </w:r>
    </w:p>
    <w:p w14:paraId="3E01B914" w14:textId="77777777" w:rsidR="00E23BCE" w:rsidRDefault="00000000">
      <w:pPr>
        <w:pStyle w:val="ListBullet"/>
      </w:pPr>
      <w:r>
        <w:t>Income Bucket with a numeric sort column.</w:t>
      </w:r>
    </w:p>
    <w:p w14:paraId="6325FC45" w14:textId="77777777" w:rsidR="00E23BCE" w:rsidRDefault="00000000">
      <w:pPr>
        <w:pStyle w:val="ListBullet"/>
      </w:pPr>
      <w:r>
        <w:t>Interest Rate Bucket with a numeric sort column.</w:t>
      </w:r>
    </w:p>
    <w:p w14:paraId="434BD243" w14:textId="77777777" w:rsidR="00E23BCE" w:rsidRDefault="00000000">
      <w:pPr>
        <w:pStyle w:val="ListBullet"/>
      </w:pPr>
      <w:r>
        <w:t>Loan Amount and Loan Count buckets for segment analysis.</w:t>
      </w:r>
    </w:p>
    <w:p w14:paraId="4ECE1D18" w14:textId="77777777" w:rsidR="00E23BCE" w:rsidRDefault="00000000">
      <w:pPr>
        <w:pStyle w:val="ListBullet"/>
      </w:pPr>
      <w:r>
        <w:t>Default Rate Band for isolating healthy, concerning, and distressed segments.</w:t>
      </w:r>
    </w:p>
    <w:p w14:paraId="543F09DE" w14:textId="77777777" w:rsidR="00E23BCE" w:rsidRDefault="00000000">
      <w:pPr>
        <w:pStyle w:val="ListBullet"/>
      </w:pPr>
      <w:r>
        <w:t>Title-cased risk values: Low, Medium, and High.</w:t>
      </w:r>
    </w:p>
    <w:tbl>
      <w:tblPr>
        <w:tblW w:w="9360" w:type="dxa"/>
        <w:jc w:val="center"/>
        <w:tblLayout w:type="fixed"/>
        <w:tblLook w:val="04A0" w:firstRow="1" w:lastRow="0" w:firstColumn="1" w:lastColumn="0" w:noHBand="0" w:noVBand="1"/>
      </w:tblPr>
      <w:tblGrid>
        <w:gridCol w:w="9360"/>
      </w:tblGrid>
      <w:tr w:rsidR="00E23BCE" w14:paraId="3C3AA445" w14:textId="77777777">
        <w:trPr>
          <w:jc w:val="center"/>
        </w:trPr>
        <w:tc>
          <w:tcPr>
            <w:tcW w:w="9360" w:type="dxa"/>
            <w:shd w:val="clear" w:color="auto" w:fill="EAF2F8"/>
            <w:tcMar>
              <w:top w:w="100" w:type="dxa"/>
              <w:left w:w="130" w:type="dxa"/>
              <w:bottom w:w="100" w:type="dxa"/>
              <w:right w:w="130" w:type="dxa"/>
            </w:tcMar>
            <w:vAlign w:val="center"/>
          </w:tcPr>
          <w:p w14:paraId="116A75EC" w14:textId="77777777" w:rsidR="00E23BCE" w:rsidRDefault="00000000">
            <w:pPr>
              <w:spacing w:after="40"/>
            </w:pPr>
            <w:r>
              <w:rPr>
                <w:b/>
                <w:color w:val="2E75B6"/>
              </w:rPr>
              <w:t xml:space="preserve">Portfolio role  </w:t>
            </w:r>
            <w:r>
              <w:rPr>
                <w:sz w:val="20"/>
              </w:rPr>
              <w:t>This page complements the visual summary by exposing the underlying segment metrics in a structured, reviewable format. Together, the two report pages support both executive storytelling and detailed analytical validation.</w:t>
            </w:r>
          </w:p>
        </w:tc>
      </w:tr>
    </w:tbl>
    <w:p w14:paraId="30BCB41F" w14:textId="77777777" w:rsidR="00E23BCE" w:rsidRDefault="00E23BCE">
      <w:pPr>
        <w:spacing w:after="40"/>
      </w:pPr>
    </w:p>
    <w:p w14:paraId="5256E6EC" w14:textId="6F06327C" w:rsidR="00E23BCE" w:rsidRDefault="00000000">
      <w:pPr>
        <w:pStyle w:val="Heading2"/>
      </w:pPr>
      <w:r>
        <w:t>Key DAX principles</w:t>
      </w:r>
    </w:p>
    <w:p w14:paraId="6AE5C785" w14:textId="77777777" w:rsidR="00E23BCE" w:rsidRDefault="00000000">
      <w:pPr>
        <w:shd w:val="clear" w:color="auto" w:fill="EEF2F6"/>
        <w:spacing w:before="60" w:after="160" w:line="240" w:lineRule="auto"/>
        <w:ind w:left="173" w:right="173"/>
      </w:pPr>
      <w:r>
        <w:rPr>
          <w:rFonts w:ascii="Consolas" w:hAnsi="Consolas"/>
          <w:color w:val="263238"/>
          <w:sz w:val="17"/>
        </w:rPr>
        <w:t>Default Rate =</w:t>
      </w:r>
      <w:r>
        <w:rPr>
          <w:rFonts w:ascii="Consolas" w:hAnsi="Consolas"/>
          <w:color w:val="263238"/>
          <w:sz w:val="17"/>
        </w:rPr>
        <w:br/>
        <w:t>DIVIDE([Defaulted Loans], [Total Loans], 0)</w:t>
      </w:r>
      <w:r>
        <w:rPr>
          <w:rFonts w:ascii="Consolas" w:hAnsi="Consolas"/>
          <w:color w:val="263238"/>
          <w:sz w:val="17"/>
        </w:rPr>
        <w:br/>
      </w:r>
      <w:r>
        <w:rPr>
          <w:rFonts w:ascii="Consolas" w:hAnsi="Consolas"/>
          <w:color w:val="263238"/>
          <w:sz w:val="17"/>
        </w:rPr>
        <w:br/>
        <w:t>Average Interest Rate % =</w:t>
      </w:r>
      <w:r>
        <w:rPr>
          <w:rFonts w:ascii="Consolas" w:hAnsi="Consolas"/>
          <w:color w:val="263238"/>
          <w:sz w:val="17"/>
        </w:rPr>
        <w:br/>
        <w:t>DIVIDE([Weighted Average Interest Rate], 100, 0)</w:t>
      </w:r>
    </w:p>
    <w:p w14:paraId="16BDE972" w14:textId="77777777" w:rsidR="001E4EB8" w:rsidRDefault="00000000">
      <w:r>
        <w:t>The overall default rate is calculated from totals. It should not be produced by averaging default_rate_pct across Gold rows, because that would give small and large segments equal weight.</w:t>
      </w:r>
    </w:p>
    <w:p w14:paraId="4910A725" w14:textId="77777777" w:rsidR="001E4EB8" w:rsidRDefault="001E4EB8"/>
    <w:p w14:paraId="38A804B7" w14:textId="77777777" w:rsidR="001E4EB8" w:rsidRDefault="001E4EB8"/>
    <w:p w14:paraId="769326BC" w14:textId="77777777" w:rsidR="001E4EB8" w:rsidRDefault="001E4EB8"/>
    <w:p w14:paraId="35B2AE5C" w14:textId="20C9BE38" w:rsidR="001E4EB8" w:rsidRDefault="001E4EB8">
      <w:r>
        <w:rPr>
          <w:noProof/>
        </w:rPr>
        <w:lastRenderedPageBreak/>
        <w:drawing>
          <wp:inline distT="0" distB="0" distL="0" distR="0" wp14:anchorId="6EBFC82A" wp14:editId="0CACF682">
            <wp:extent cx="5113176" cy="1371600"/>
            <wp:effectExtent l="0" t="0" r="0" b="0"/>
            <wp:docPr id="14430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27771" name=""/>
                    <pic:cNvPicPr/>
                  </pic:nvPicPr>
                  <pic:blipFill>
                    <a:blip r:embed="rId15"/>
                    <a:stretch>
                      <a:fillRect/>
                    </a:stretch>
                  </pic:blipFill>
                  <pic:spPr>
                    <a:xfrm>
                      <a:off x="0" y="0"/>
                      <a:ext cx="5121167" cy="1373744"/>
                    </a:xfrm>
                    <a:prstGeom prst="rect">
                      <a:avLst/>
                    </a:prstGeom>
                  </pic:spPr>
                </pic:pic>
              </a:graphicData>
            </a:graphic>
          </wp:inline>
        </w:drawing>
      </w:r>
    </w:p>
    <w:p w14:paraId="76565BA5" w14:textId="649F05C7" w:rsidR="001E4EB8" w:rsidRDefault="001E4EB8" w:rsidP="001E4EB8">
      <w:r>
        <w:t>Utilized Dynamic Labeling between Thousands and Millions to have a cleaner, more functional report for the end user when toggling filters</w:t>
      </w:r>
      <w:r w:rsidR="008426CE">
        <w:t xml:space="preserve"> on Detailed Risk Analysis Page for </w:t>
      </w:r>
      <w:r w:rsidR="008426CE" w:rsidRPr="008426CE">
        <w:rPr>
          <w:b/>
          <w:bCs/>
        </w:rPr>
        <w:t>Total Loan Amount</w:t>
      </w:r>
      <w:r>
        <w:t xml:space="preserve">. </w:t>
      </w:r>
    </w:p>
    <w:p w14:paraId="1E5D04DA" w14:textId="77777777" w:rsidR="001E4EB8" w:rsidRDefault="001E4EB8" w:rsidP="001E4EB8"/>
    <w:p w14:paraId="31559469" w14:textId="77777777" w:rsidR="001E4EB8" w:rsidRDefault="001E4EB8" w:rsidP="001E4EB8">
      <w:r>
        <w:rPr>
          <w:noProof/>
        </w:rPr>
        <w:drawing>
          <wp:inline distT="0" distB="0" distL="0" distR="0" wp14:anchorId="408148FF" wp14:editId="615C92A0">
            <wp:extent cx="4533900" cy="1499185"/>
            <wp:effectExtent l="0" t="0" r="0" b="6350"/>
            <wp:docPr id="4220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65214" name=""/>
                    <pic:cNvPicPr/>
                  </pic:nvPicPr>
                  <pic:blipFill>
                    <a:blip r:embed="rId16"/>
                    <a:stretch>
                      <a:fillRect/>
                    </a:stretch>
                  </pic:blipFill>
                  <pic:spPr>
                    <a:xfrm>
                      <a:off x="0" y="0"/>
                      <a:ext cx="4544468" cy="1502679"/>
                    </a:xfrm>
                    <a:prstGeom prst="rect">
                      <a:avLst/>
                    </a:prstGeom>
                  </pic:spPr>
                </pic:pic>
              </a:graphicData>
            </a:graphic>
          </wp:inline>
        </w:drawing>
      </w:r>
    </w:p>
    <w:p w14:paraId="188EFB3F" w14:textId="77777777" w:rsidR="001E4EB8" w:rsidRDefault="001E4EB8" w:rsidP="001E4EB8">
      <w:r>
        <w:t xml:space="preserve">Implemented </w:t>
      </w:r>
      <w:r w:rsidRPr="008426CE">
        <w:rPr>
          <w:b/>
          <w:bCs/>
        </w:rPr>
        <w:t>Bucket Categories</w:t>
      </w:r>
      <w:r>
        <w:t xml:space="preserve"> to create convenient </w:t>
      </w:r>
      <w:r w:rsidRPr="008426CE">
        <w:rPr>
          <w:b/>
          <w:bCs/>
        </w:rPr>
        <w:t xml:space="preserve">filtering </w:t>
      </w:r>
      <w:r>
        <w:t xml:space="preserve">between income information. The chart above showcases how you will want to sort your slicer to the income ranges are in numerical order. </w:t>
      </w:r>
    </w:p>
    <w:p w14:paraId="58C22070" w14:textId="77777777" w:rsidR="001E4EB8" w:rsidRDefault="001E4EB8" w:rsidP="001E4EB8"/>
    <w:p w14:paraId="3DE957E3" w14:textId="77777777" w:rsidR="001E4EB8" w:rsidRDefault="001E4EB8" w:rsidP="001E4EB8">
      <w:r>
        <w:rPr>
          <w:noProof/>
        </w:rPr>
        <w:drawing>
          <wp:inline distT="0" distB="0" distL="0" distR="0" wp14:anchorId="5F535160" wp14:editId="234ABF21">
            <wp:extent cx="3990975" cy="1504534"/>
            <wp:effectExtent l="0" t="0" r="0" b="635"/>
            <wp:docPr id="66793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30004" name=""/>
                    <pic:cNvPicPr/>
                  </pic:nvPicPr>
                  <pic:blipFill>
                    <a:blip r:embed="rId17"/>
                    <a:stretch>
                      <a:fillRect/>
                    </a:stretch>
                  </pic:blipFill>
                  <pic:spPr>
                    <a:xfrm>
                      <a:off x="0" y="0"/>
                      <a:ext cx="4016046" cy="1513985"/>
                    </a:xfrm>
                    <a:prstGeom prst="rect">
                      <a:avLst/>
                    </a:prstGeom>
                  </pic:spPr>
                </pic:pic>
              </a:graphicData>
            </a:graphic>
          </wp:inline>
        </w:drawing>
      </w:r>
    </w:p>
    <w:p w14:paraId="61EDF573" w14:textId="22F239CA" w:rsidR="00E23BCE" w:rsidRDefault="001E4EB8" w:rsidP="001E4EB8">
      <w:r>
        <w:t xml:space="preserve">Average Interest Rate % between all loans. </w:t>
      </w:r>
      <w:r>
        <w:br/>
      </w:r>
      <w:r>
        <w:br/>
      </w:r>
      <w:r>
        <w:rPr>
          <w:noProof/>
        </w:rPr>
        <w:drawing>
          <wp:inline distT="0" distB="0" distL="0" distR="0" wp14:anchorId="4B3D8BCE" wp14:editId="13293FE2">
            <wp:extent cx="3028950" cy="933450"/>
            <wp:effectExtent l="0" t="0" r="0" b="0"/>
            <wp:docPr id="169186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63004" name=""/>
                    <pic:cNvPicPr/>
                  </pic:nvPicPr>
                  <pic:blipFill>
                    <a:blip r:embed="rId18"/>
                    <a:stretch>
                      <a:fillRect/>
                    </a:stretch>
                  </pic:blipFill>
                  <pic:spPr>
                    <a:xfrm>
                      <a:off x="0" y="0"/>
                      <a:ext cx="3028950" cy="933450"/>
                    </a:xfrm>
                    <a:prstGeom prst="rect">
                      <a:avLst/>
                    </a:prstGeom>
                  </pic:spPr>
                </pic:pic>
              </a:graphicData>
            </a:graphic>
          </wp:inline>
        </w:drawing>
      </w:r>
      <w:r>
        <w:br/>
      </w:r>
      <w:r>
        <w:br/>
        <w:t xml:space="preserve">Tool Tip Risk Selection. This was primarily meant for the </w:t>
      </w:r>
      <w:r w:rsidRPr="008426CE">
        <w:rPr>
          <w:b/>
          <w:bCs/>
        </w:rPr>
        <w:t>ScatterPlot</w:t>
      </w:r>
      <w:r w:rsidR="008426CE">
        <w:rPr>
          <w:b/>
          <w:bCs/>
        </w:rPr>
        <w:t xml:space="preserve"> ToolTip</w:t>
      </w:r>
      <w:r>
        <w:t xml:space="preserve"> as there is a ton of </w:t>
      </w:r>
      <w:r w:rsidR="00374BA4">
        <w:t xml:space="preserve">useful breakdown </w:t>
      </w:r>
      <w:r>
        <w:t>information within each unit</w:t>
      </w:r>
      <w:r w:rsidR="00374BA4">
        <w:t xml:space="preserve"> and gives you a better picture of the default vs interest rate</w:t>
      </w:r>
      <w:r>
        <w:t xml:space="preserve">. </w:t>
      </w:r>
      <w:r w:rsidR="008426CE">
        <w:t>One insight I came to find was that it provided as a helpful resource to make sure each bubble is an individual loan</w:t>
      </w:r>
      <w:r w:rsidR="00000000">
        <w:br w:type="page"/>
      </w:r>
    </w:p>
    <w:p w14:paraId="00EE14BF" w14:textId="6EF9B916" w:rsidR="00E23BCE" w:rsidRDefault="00000000">
      <w:pPr>
        <w:pStyle w:val="Heading1"/>
      </w:pPr>
      <w:r>
        <w:lastRenderedPageBreak/>
        <w:t xml:space="preserve">8. </w:t>
      </w:r>
      <w:r w:rsidR="004542A3">
        <w:t>Project Order and Quality Assurance</w:t>
      </w:r>
    </w:p>
    <w:p w14:paraId="751C7B27" w14:textId="2F361E4C" w:rsidR="004542A3" w:rsidRDefault="004542A3">
      <w:pPr>
        <w:pStyle w:val="Heading2"/>
      </w:pPr>
      <w:r>
        <w:t>Report QA:</w:t>
      </w:r>
    </w:p>
    <w:p w14:paraId="2E68DA53" w14:textId="536A0998" w:rsidR="009B727F" w:rsidRDefault="004542A3" w:rsidP="004542A3">
      <w:r>
        <w:t xml:space="preserve">Within the Power BI Report I utilized Power Query to produce new columns within the report. Ensuring these functioned properly and the Columns/Measures within Power BI were important for data governance and validation practices. The biggest challenge within this report for quality assurance was developing the right pieces for the Scatter Plot to represent one individual loan financial loan per group (Education, Medical, Home Improvement). </w:t>
      </w:r>
      <w:r w:rsidR="009B727F">
        <w:t xml:space="preserve">Example below of a QA Check within the company on </w:t>
      </w:r>
      <w:r w:rsidR="00C1265C">
        <w:t>True</w:t>
      </w:r>
      <w:r w:rsidR="009B727F">
        <w:t xml:space="preserve"> Values having a </w:t>
      </w:r>
      <w:r w:rsidR="00C1265C">
        <w:t>Higher</w:t>
      </w:r>
      <w:r w:rsidR="009B727F">
        <w:t xml:space="preserve"> Default Rate percentage </w:t>
      </w:r>
      <w:r w:rsidR="00C1265C">
        <w:t xml:space="preserve">that equates to </w:t>
      </w:r>
      <w:r w:rsidR="009B727F">
        <w:t xml:space="preserve">25%. </w:t>
      </w:r>
    </w:p>
    <w:p w14:paraId="2EAC686D" w14:textId="735D0A81" w:rsidR="009B727F" w:rsidRDefault="009B727F" w:rsidP="009B727F">
      <w:pPr>
        <w:pStyle w:val="Heading2"/>
      </w:pPr>
      <w:r>
        <w:t>High Risk Comparison vs Loan Size</w:t>
      </w:r>
    </w:p>
    <w:p w14:paraId="7BBC1E6E" w14:textId="5368E9CD" w:rsidR="004542A3" w:rsidRDefault="009B727F" w:rsidP="009B727F">
      <w:r>
        <w:rPr>
          <w:noProof/>
        </w:rPr>
        <w:drawing>
          <wp:inline distT="0" distB="0" distL="0" distR="0" wp14:anchorId="62A5FCBB" wp14:editId="13C30B9D">
            <wp:extent cx="5007320" cy="1609725"/>
            <wp:effectExtent l="0" t="0" r="3175" b="0"/>
            <wp:docPr id="15614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3756" name=""/>
                    <pic:cNvPicPr/>
                  </pic:nvPicPr>
                  <pic:blipFill>
                    <a:blip r:embed="rId19"/>
                    <a:stretch>
                      <a:fillRect/>
                    </a:stretch>
                  </pic:blipFill>
                  <pic:spPr>
                    <a:xfrm>
                      <a:off x="0" y="0"/>
                      <a:ext cx="5013924" cy="1611848"/>
                    </a:xfrm>
                    <a:prstGeom prst="rect">
                      <a:avLst/>
                    </a:prstGeom>
                  </pic:spPr>
                </pic:pic>
              </a:graphicData>
            </a:graphic>
          </wp:inline>
        </w:drawing>
      </w:r>
    </w:p>
    <w:p w14:paraId="489EA04E" w14:textId="60AD845F" w:rsidR="00E23BCE" w:rsidRDefault="00000000">
      <w:pPr>
        <w:pStyle w:val="Heading2"/>
      </w:pPr>
      <w:r>
        <w:t>Run order</w:t>
      </w:r>
    </w:p>
    <w:p w14:paraId="08789DAB" w14:textId="77777777" w:rsidR="00E23BCE" w:rsidRDefault="00000000">
      <w:pPr>
        <w:pStyle w:val="ListNumber"/>
        <w:spacing w:after="100"/>
      </w:pPr>
      <w:r>
        <w:rPr>
          <w:b/>
          <w:color w:val="17365D"/>
          <w:sz w:val="21"/>
        </w:rPr>
        <w:t xml:space="preserve">Start services: </w:t>
      </w:r>
      <w:r>
        <w:t>Run docker compose up -d from the project root.</w:t>
      </w:r>
    </w:p>
    <w:p w14:paraId="16455315" w14:textId="77777777" w:rsidR="00E23BCE" w:rsidRDefault="00000000">
      <w:pPr>
        <w:pStyle w:val="ListNumber"/>
        <w:spacing w:after="100"/>
      </w:pPr>
      <w:r>
        <w:rPr>
          <w:b/>
          <w:color w:val="17365D"/>
          <w:sz w:val="21"/>
        </w:rPr>
        <w:t xml:space="preserve">Upload Bronze: </w:t>
      </w:r>
      <w:r>
        <w:t>Run python Scripts\upload_to_s3.py.</w:t>
      </w:r>
    </w:p>
    <w:p w14:paraId="7C911BAD" w14:textId="77777777" w:rsidR="00E23BCE" w:rsidRDefault="00000000">
      <w:pPr>
        <w:pStyle w:val="ListNumber"/>
        <w:spacing w:after="100"/>
      </w:pPr>
      <w:r>
        <w:rPr>
          <w:b/>
          <w:color w:val="17365D"/>
          <w:sz w:val="21"/>
        </w:rPr>
        <w:t xml:space="preserve">Create Silver: </w:t>
      </w:r>
      <w:r>
        <w:t>Submit credit_risk_etl.py through Spark.</w:t>
      </w:r>
    </w:p>
    <w:p w14:paraId="65DFADE3" w14:textId="77777777" w:rsidR="00E23BCE" w:rsidRDefault="00000000">
      <w:pPr>
        <w:pStyle w:val="ListNumber"/>
        <w:spacing w:after="100"/>
      </w:pPr>
      <w:r>
        <w:rPr>
          <w:b/>
          <w:color w:val="17365D"/>
          <w:sz w:val="21"/>
        </w:rPr>
        <w:t xml:space="preserve">Create Gold: </w:t>
      </w:r>
      <w:r>
        <w:t>Submit credit_risk_gold.py through Spark.</w:t>
      </w:r>
    </w:p>
    <w:p w14:paraId="511EC8FC" w14:textId="77777777" w:rsidR="00E23BCE" w:rsidRDefault="00000000">
      <w:pPr>
        <w:pStyle w:val="ListNumber"/>
        <w:spacing w:after="100"/>
      </w:pPr>
      <w:r>
        <w:rPr>
          <w:b/>
          <w:color w:val="17365D"/>
          <w:sz w:val="21"/>
        </w:rPr>
        <w:t xml:space="preserve">Export reporting file: </w:t>
      </w:r>
      <w:r>
        <w:t>Submit export_gold_csv.py through Spark.</w:t>
      </w:r>
    </w:p>
    <w:p w14:paraId="25115E7D" w14:textId="77777777" w:rsidR="00E23BCE" w:rsidRDefault="00000000">
      <w:pPr>
        <w:pStyle w:val="ListNumber"/>
        <w:spacing w:after="100"/>
      </w:pPr>
      <w:r>
        <w:rPr>
          <w:b/>
          <w:color w:val="17365D"/>
          <w:sz w:val="21"/>
        </w:rPr>
        <w:t xml:space="preserve">Refresh report: </w:t>
      </w:r>
      <w:r>
        <w:t>Load or refresh the generated part-00000 CSV in Power BI.</w:t>
      </w:r>
    </w:p>
    <w:p w14:paraId="2662AD50" w14:textId="77777777" w:rsidR="00E23BCE" w:rsidRDefault="00000000">
      <w:pPr>
        <w:pStyle w:val="Heading2"/>
      </w:pPr>
      <w:r>
        <w:t>Quality checks</w:t>
      </w:r>
    </w:p>
    <w:tbl>
      <w:tblPr>
        <w:tblW w:w="9360" w:type="dxa"/>
        <w:jc w:val="center"/>
        <w:tblLayout w:type="fixed"/>
        <w:tblLook w:val="04A0" w:firstRow="1" w:lastRow="0" w:firstColumn="1" w:lastColumn="0" w:noHBand="0" w:noVBand="1"/>
      </w:tblPr>
      <w:tblGrid>
        <w:gridCol w:w="2500"/>
        <w:gridCol w:w="6860"/>
      </w:tblGrid>
      <w:tr w:rsidR="00E23BCE" w14:paraId="28B29E23" w14:textId="77777777">
        <w:trPr>
          <w:tblHeader/>
          <w:jc w:val="center"/>
        </w:trPr>
        <w:tc>
          <w:tcPr>
            <w:tcW w:w="2500" w:type="dxa"/>
            <w:shd w:val="clear" w:color="auto" w:fill="17365D"/>
            <w:tcMar>
              <w:top w:w="100" w:type="dxa"/>
              <w:left w:w="130" w:type="dxa"/>
              <w:bottom w:w="100" w:type="dxa"/>
              <w:right w:w="130" w:type="dxa"/>
            </w:tcMar>
            <w:vAlign w:val="center"/>
          </w:tcPr>
          <w:p w14:paraId="329FAFFA" w14:textId="77777777" w:rsidR="00E23BCE" w:rsidRDefault="00000000">
            <w:r>
              <w:rPr>
                <w:b/>
                <w:color w:val="FFFFFF"/>
                <w:sz w:val="19"/>
              </w:rPr>
              <w:t>Check</w:t>
            </w:r>
          </w:p>
        </w:tc>
        <w:tc>
          <w:tcPr>
            <w:tcW w:w="6860" w:type="dxa"/>
            <w:shd w:val="clear" w:color="auto" w:fill="17365D"/>
            <w:tcMar>
              <w:top w:w="100" w:type="dxa"/>
              <w:left w:w="130" w:type="dxa"/>
              <w:bottom w:w="100" w:type="dxa"/>
              <w:right w:w="130" w:type="dxa"/>
            </w:tcMar>
            <w:vAlign w:val="center"/>
          </w:tcPr>
          <w:p w14:paraId="332EE276" w14:textId="77777777" w:rsidR="00E23BCE" w:rsidRDefault="00000000">
            <w:r>
              <w:rPr>
                <w:b/>
                <w:color w:val="FFFFFF"/>
                <w:sz w:val="19"/>
              </w:rPr>
              <w:t>Acceptance criterion</w:t>
            </w:r>
          </w:p>
        </w:tc>
      </w:tr>
      <w:tr w:rsidR="00E23BCE" w14:paraId="7EC7B4C3" w14:textId="77777777">
        <w:trPr>
          <w:jc w:val="center"/>
        </w:trPr>
        <w:tc>
          <w:tcPr>
            <w:tcW w:w="2500" w:type="dxa"/>
            <w:tcMar>
              <w:top w:w="100" w:type="dxa"/>
              <w:left w:w="130" w:type="dxa"/>
              <w:bottom w:w="100" w:type="dxa"/>
              <w:right w:w="130" w:type="dxa"/>
            </w:tcMar>
            <w:vAlign w:val="center"/>
          </w:tcPr>
          <w:p w14:paraId="67697350" w14:textId="77777777" w:rsidR="00E23BCE" w:rsidRDefault="00000000">
            <w:r>
              <w:rPr>
                <w:b/>
                <w:color w:val="17365D"/>
                <w:sz w:val="18"/>
              </w:rPr>
              <w:t>Bronze exists</w:t>
            </w:r>
          </w:p>
        </w:tc>
        <w:tc>
          <w:tcPr>
            <w:tcW w:w="6860" w:type="dxa"/>
            <w:tcMar>
              <w:top w:w="100" w:type="dxa"/>
              <w:left w:w="130" w:type="dxa"/>
              <w:bottom w:w="100" w:type="dxa"/>
              <w:right w:w="130" w:type="dxa"/>
            </w:tcMar>
            <w:vAlign w:val="center"/>
          </w:tcPr>
          <w:p w14:paraId="5379B2A8" w14:textId="77777777" w:rsidR="00E23BCE" w:rsidRDefault="00000000">
            <w:r>
              <w:rPr>
                <w:sz w:val="18"/>
              </w:rPr>
              <w:t>raw/credit_risk_dataset.csv is visible in the bucket.</w:t>
            </w:r>
          </w:p>
        </w:tc>
      </w:tr>
      <w:tr w:rsidR="00E23BCE" w14:paraId="3994F23E" w14:textId="77777777">
        <w:trPr>
          <w:jc w:val="center"/>
        </w:trPr>
        <w:tc>
          <w:tcPr>
            <w:tcW w:w="2500" w:type="dxa"/>
            <w:tcMar>
              <w:top w:w="100" w:type="dxa"/>
              <w:left w:w="130" w:type="dxa"/>
              <w:bottom w:w="100" w:type="dxa"/>
              <w:right w:w="130" w:type="dxa"/>
            </w:tcMar>
            <w:vAlign w:val="center"/>
          </w:tcPr>
          <w:p w14:paraId="4E6EA5F5" w14:textId="77777777" w:rsidR="00E23BCE" w:rsidRDefault="00000000">
            <w:r>
              <w:rPr>
                <w:b/>
                <w:color w:val="17365D"/>
                <w:sz w:val="18"/>
              </w:rPr>
              <w:t>Silver complete</w:t>
            </w:r>
          </w:p>
        </w:tc>
        <w:tc>
          <w:tcPr>
            <w:tcW w:w="6860" w:type="dxa"/>
            <w:tcMar>
              <w:top w:w="100" w:type="dxa"/>
              <w:left w:w="130" w:type="dxa"/>
              <w:bottom w:w="100" w:type="dxa"/>
              <w:right w:w="130" w:type="dxa"/>
            </w:tcMar>
            <w:vAlign w:val="center"/>
          </w:tcPr>
          <w:p w14:paraId="05E1916F" w14:textId="77777777" w:rsidR="00E23BCE" w:rsidRDefault="00000000">
            <w:r>
              <w:rPr>
                <w:sz w:val="18"/>
              </w:rPr>
              <w:t>processed/_SUCCESS exists with A–G grade partitions.</w:t>
            </w:r>
          </w:p>
        </w:tc>
      </w:tr>
      <w:tr w:rsidR="00E23BCE" w14:paraId="725C34CA" w14:textId="77777777">
        <w:trPr>
          <w:jc w:val="center"/>
        </w:trPr>
        <w:tc>
          <w:tcPr>
            <w:tcW w:w="2500" w:type="dxa"/>
            <w:tcMar>
              <w:top w:w="100" w:type="dxa"/>
              <w:left w:w="130" w:type="dxa"/>
              <w:bottom w:w="100" w:type="dxa"/>
              <w:right w:w="130" w:type="dxa"/>
            </w:tcMar>
            <w:vAlign w:val="center"/>
          </w:tcPr>
          <w:p w14:paraId="221E00BA" w14:textId="77777777" w:rsidR="00E23BCE" w:rsidRDefault="00000000">
            <w:r>
              <w:rPr>
                <w:b/>
                <w:color w:val="17365D"/>
                <w:sz w:val="18"/>
              </w:rPr>
              <w:t>Gold complete</w:t>
            </w:r>
          </w:p>
        </w:tc>
        <w:tc>
          <w:tcPr>
            <w:tcW w:w="6860" w:type="dxa"/>
            <w:tcMar>
              <w:top w:w="100" w:type="dxa"/>
              <w:left w:w="130" w:type="dxa"/>
              <w:bottom w:w="100" w:type="dxa"/>
              <w:right w:w="130" w:type="dxa"/>
            </w:tcMar>
            <w:vAlign w:val="center"/>
          </w:tcPr>
          <w:p w14:paraId="740EAEFE" w14:textId="77777777" w:rsidR="00E23BCE" w:rsidRDefault="00000000">
            <w:r>
              <w:rPr>
                <w:sz w:val="18"/>
              </w:rPr>
              <w:t>gold/loan_risk_summary/_SUCCESS exists with A–G partitions.</w:t>
            </w:r>
          </w:p>
        </w:tc>
      </w:tr>
      <w:tr w:rsidR="00E23BCE" w14:paraId="5B8745E4" w14:textId="77777777">
        <w:trPr>
          <w:jc w:val="center"/>
        </w:trPr>
        <w:tc>
          <w:tcPr>
            <w:tcW w:w="2500" w:type="dxa"/>
            <w:tcMar>
              <w:top w:w="100" w:type="dxa"/>
              <w:left w:w="130" w:type="dxa"/>
              <w:bottom w:w="100" w:type="dxa"/>
              <w:right w:w="130" w:type="dxa"/>
            </w:tcMar>
            <w:vAlign w:val="center"/>
          </w:tcPr>
          <w:p w14:paraId="56622696" w14:textId="77777777" w:rsidR="00E23BCE" w:rsidRDefault="00000000">
            <w:r>
              <w:rPr>
                <w:b/>
                <w:color w:val="17365D"/>
                <w:sz w:val="18"/>
              </w:rPr>
              <w:t>Metrics reconcile</w:t>
            </w:r>
          </w:p>
        </w:tc>
        <w:tc>
          <w:tcPr>
            <w:tcW w:w="6860" w:type="dxa"/>
            <w:tcMar>
              <w:top w:w="100" w:type="dxa"/>
              <w:left w:w="130" w:type="dxa"/>
              <w:bottom w:w="100" w:type="dxa"/>
              <w:right w:w="130" w:type="dxa"/>
            </w:tcMar>
            <w:vAlign w:val="center"/>
          </w:tcPr>
          <w:p w14:paraId="0E6F366A" w14:textId="77777777" w:rsidR="00E23BCE" w:rsidRDefault="00000000">
            <w:r>
              <w:rPr>
                <w:sz w:val="18"/>
              </w:rPr>
              <w:t>Total = Paid + Defaulted; amount ÷ average amount approximates count.</w:t>
            </w:r>
          </w:p>
        </w:tc>
      </w:tr>
      <w:tr w:rsidR="00E23BCE" w14:paraId="7D60FFFB" w14:textId="77777777">
        <w:trPr>
          <w:jc w:val="center"/>
        </w:trPr>
        <w:tc>
          <w:tcPr>
            <w:tcW w:w="2500" w:type="dxa"/>
            <w:tcMar>
              <w:top w:w="100" w:type="dxa"/>
              <w:left w:w="130" w:type="dxa"/>
              <w:bottom w:w="100" w:type="dxa"/>
              <w:right w:w="130" w:type="dxa"/>
            </w:tcMar>
            <w:vAlign w:val="center"/>
          </w:tcPr>
          <w:p w14:paraId="6F911D4F" w14:textId="77777777" w:rsidR="00E23BCE" w:rsidRDefault="00000000">
            <w:r>
              <w:rPr>
                <w:b/>
                <w:color w:val="17365D"/>
                <w:sz w:val="18"/>
              </w:rPr>
              <w:t>Filters interact</w:t>
            </w:r>
          </w:p>
        </w:tc>
        <w:tc>
          <w:tcPr>
            <w:tcW w:w="6860" w:type="dxa"/>
            <w:tcMar>
              <w:top w:w="100" w:type="dxa"/>
              <w:left w:w="130" w:type="dxa"/>
              <w:bottom w:w="100" w:type="dxa"/>
              <w:right w:w="130" w:type="dxa"/>
            </w:tcMar>
            <w:vAlign w:val="center"/>
          </w:tcPr>
          <w:p w14:paraId="2D1E459A" w14:textId="77777777" w:rsidR="00E23BCE" w:rsidRDefault="00000000">
            <w:r>
              <w:rPr>
                <w:sz w:val="18"/>
              </w:rPr>
              <w:t>Selecting a risk or income bucket recalculates all report visuals.</w:t>
            </w:r>
          </w:p>
        </w:tc>
      </w:tr>
      <w:tr w:rsidR="00E23BCE" w14:paraId="30950083" w14:textId="77777777">
        <w:trPr>
          <w:jc w:val="center"/>
        </w:trPr>
        <w:tc>
          <w:tcPr>
            <w:tcW w:w="2500" w:type="dxa"/>
            <w:tcMar>
              <w:top w:w="100" w:type="dxa"/>
              <w:left w:w="130" w:type="dxa"/>
              <w:bottom w:w="100" w:type="dxa"/>
              <w:right w:w="130" w:type="dxa"/>
            </w:tcMar>
            <w:vAlign w:val="center"/>
          </w:tcPr>
          <w:p w14:paraId="0D4934A0" w14:textId="77777777" w:rsidR="00E23BCE" w:rsidRDefault="00000000">
            <w:r>
              <w:rPr>
                <w:b/>
                <w:color w:val="17365D"/>
                <w:sz w:val="18"/>
              </w:rPr>
              <w:t>No false time claim</w:t>
            </w:r>
          </w:p>
        </w:tc>
        <w:tc>
          <w:tcPr>
            <w:tcW w:w="6860" w:type="dxa"/>
            <w:tcMar>
              <w:top w:w="100" w:type="dxa"/>
              <w:left w:w="130" w:type="dxa"/>
              <w:bottom w:w="100" w:type="dxa"/>
              <w:right w:w="130" w:type="dxa"/>
            </w:tcMar>
            <w:vAlign w:val="center"/>
          </w:tcPr>
          <w:p w14:paraId="4C749C17" w14:textId="07EB7139" w:rsidR="004542A3" w:rsidRPr="00B173FD" w:rsidRDefault="00000000">
            <w:pPr>
              <w:rPr>
                <w:sz w:val="18"/>
              </w:rPr>
            </w:pPr>
            <w:r>
              <w:rPr>
                <w:sz w:val="18"/>
              </w:rPr>
              <w:t>Report is labeled as a dataset snapshot, not a monthly trend.</w:t>
            </w:r>
          </w:p>
        </w:tc>
      </w:tr>
    </w:tbl>
    <w:p w14:paraId="24593609" w14:textId="1D12834D" w:rsidR="00B173FD" w:rsidRDefault="00B173FD" w:rsidP="000C4124">
      <w:pPr>
        <w:pStyle w:val="Heading1"/>
      </w:pPr>
      <w:r>
        <w:lastRenderedPageBreak/>
        <w:t>Power BI Showcase</w:t>
      </w:r>
    </w:p>
    <w:p w14:paraId="47BB49F2" w14:textId="26383180" w:rsidR="000C4124" w:rsidRDefault="000C4124" w:rsidP="000C4124">
      <w:pPr>
        <w:pStyle w:val="Heading2"/>
      </w:pPr>
      <w:r>
        <w:t>Credit Risk Overview</w:t>
      </w:r>
    </w:p>
    <w:p w14:paraId="18FD2E40" w14:textId="30921D32" w:rsidR="00B173FD" w:rsidRPr="00B173FD" w:rsidRDefault="003300E3" w:rsidP="00B173FD">
      <w:r>
        <w:rPr>
          <w:noProof/>
        </w:rPr>
        <w:drawing>
          <wp:inline distT="0" distB="0" distL="0" distR="0" wp14:anchorId="2F1787AC" wp14:editId="59D71EB4">
            <wp:extent cx="5886450" cy="3631406"/>
            <wp:effectExtent l="0" t="0" r="0" b="7620"/>
            <wp:docPr id="19650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866" name=""/>
                    <pic:cNvPicPr/>
                  </pic:nvPicPr>
                  <pic:blipFill>
                    <a:blip r:embed="rId20"/>
                    <a:stretch>
                      <a:fillRect/>
                    </a:stretch>
                  </pic:blipFill>
                  <pic:spPr>
                    <a:xfrm>
                      <a:off x="0" y="0"/>
                      <a:ext cx="5923438" cy="3654224"/>
                    </a:xfrm>
                    <a:prstGeom prst="rect">
                      <a:avLst/>
                    </a:prstGeom>
                  </pic:spPr>
                </pic:pic>
              </a:graphicData>
            </a:graphic>
          </wp:inline>
        </w:drawing>
      </w:r>
    </w:p>
    <w:p w14:paraId="5F41797B" w14:textId="13228B36" w:rsidR="00E23BCE" w:rsidRDefault="000C4124" w:rsidP="000C4124">
      <w:pPr>
        <w:pStyle w:val="Heading2"/>
      </w:pPr>
      <w:r>
        <w:t>Detailed Risk Analysis</w:t>
      </w:r>
    </w:p>
    <w:p w14:paraId="59CA9976" w14:textId="41E7E73C" w:rsidR="000C4124" w:rsidRPr="000C4124" w:rsidRDefault="000C4124" w:rsidP="000C4124">
      <w:r>
        <w:rPr>
          <w:noProof/>
        </w:rPr>
        <w:drawing>
          <wp:inline distT="0" distB="0" distL="0" distR="0" wp14:anchorId="789EC555" wp14:editId="169BAAEA">
            <wp:extent cx="5943600" cy="3413125"/>
            <wp:effectExtent l="0" t="0" r="0" b="0"/>
            <wp:docPr id="26282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21445" name=""/>
                    <pic:cNvPicPr/>
                  </pic:nvPicPr>
                  <pic:blipFill>
                    <a:blip r:embed="rId21"/>
                    <a:stretch>
                      <a:fillRect/>
                    </a:stretch>
                  </pic:blipFill>
                  <pic:spPr>
                    <a:xfrm>
                      <a:off x="0" y="0"/>
                      <a:ext cx="5943600" cy="3413125"/>
                    </a:xfrm>
                    <a:prstGeom prst="rect">
                      <a:avLst/>
                    </a:prstGeom>
                  </pic:spPr>
                </pic:pic>
              </a:graphicData>
            </a:graphic>
          </wp:inline>
        </w:drawing>
      </w:r>
    </w:p>
    <w:p w14:paraId="6DDE3FFE" w14:textId="64D9BB37" w:rsidR="00E23BCE" w:rsidRDefault="00000000">
      <w:pPr>
        <w:pStyle w:val="Heading1"/>
      </w:pPr>
      <w:r>
        <w:lastRenderedPageBreak/>
        <w:t xml:space="preserve">9. Portfolio </w:t>
      </w:r>
      <w:r w:rsidR="00B173FD">
        <w:t>Wrap-up</w:t>
      </w:r>
    </w:p>
    <w:tbl>
      <w:tblPr>
        <w:tblW w:w="9360" w:type="dxa"/>
        <w:jc w:val="center"/>
        <w:tblLayout w:type="fixed"/>
        <w:tblLook w:val="04A0" w:firstRow="1" w:lastRow="0" w:firstColumn="1" w:lastColumn="0" w:noHBand="0" w:noVBand="1"/>
      </w:tblPr>
      <w:tblGrid>
        <w:gridCol w:w="9360"/>
      </w:tblGrid>
      <w:tr w:rsidR="00E23BCE" w14:paraId="68CC6F8D" w14:textId="77777777">
        <w:trPr>
          <w:jc w:val="center"/>
        </w:trPr>
        <w:tc>
          <w:tcPr>
            <w:tcW w:w="9360" w:type="dxa"/>
            <w:shd w:val="clear" w:color="auto" w:fill="EAF2F8"/>
            <w:tcMar>
              <w:top w:w="100" w:type="dxa"/>
              <w:left w:w="130" w:type="dxa"/>
              <w:bottom w:w="100" w:type="dxa"/>
              <w:right w:w="130" w:type="dxa"/>
            </w:tcMar>
            <w:vAlign w:val="center"/>
          </w:tcPr>
          <w:p w14:paraId="0249EB16" w14:textId="77777777" w:rsidR="00E23BCE" w:rsidRDefault="00000000">
            <w:pPr>
              <w:spacing w:after="40"/>
            </w:pPr>
            <w:r>
              <w:rPr>
                <w:b/>
                <w:color w:val="2A9D8F"/>
              </w:rPr>
              <w:t xml:space="preserve">Project </w:t>
            </w:r>
            <w:proofErr w:type="gramStart"/>
            <w:r>
              <w:rPr>
                <w:b/>
                <w:color w:val="2A9D8F"/>
              </w:rPr>
              <w:t xml:space="preserve">statement  </w:t>
            </w:r>
            <w:r>
              <w:rPr>
                <w:sz w:val="20"/>
              </w:rPr>
              <w:t>Built</w:t>
            </w:r>
            <w:proofErr w:type="gramEnd"/>
            <w:r>
              <w:rPr>
                <w:sz w:val="20"/>
              </w:rPr>
              <w:t xml:space="preserve"> an end-to-end credit-risk analytics pipeline using Python, Docker, LocalStack S3, PySpark, partitioned Parquet, and Power BI. Implemented Bronze, Silver, and Gold layers and delivered a two-page report for portfolio exposure, default performance, and detailed segment analysis.</w:t>
            </w:r>
          </w:p>
        </w:tc>
      </w:tr>
    </w:tbl>
    <w:p w14:paraId="05E055C9" w14:textId="77777777" w:rsidR="00E23BCE" w:rsidRDefault="00E23BCE">
      <w:pPr>
        <w:spacing w:after="40"/>
      </w:pPr>
    </w:p>
    <w:p w14:paraId="0A47B72C" w14:textId="77777777" w:rsidR="00E23BCE" w:rsidRDefault="00000000">
      <w:pPr>
        <w:pStyle w:val="Heading2"/>
      </w:pPr>
      <w:r>
        <w:t>What this project demonstrates</w:t>
      </w:r>
    </w:p>
    <w:p w14:paraId="7C4ABA78" w14:textId="77777777" w:rsidR="00E23BCE" w:rsidRDefault="00000000">
      <w:pPr>
        <w:pStyle w:val="ListBullet"/>
      </w:pPr>
      <w:r>
        <w:t>Cloud data-lake concepts through S3-compatible object storage.</w:t>
      </w:r>
    </w:p>
    <w:p w14:paraId="59E0833B" w14:textId="77777777" w:rsidR="00E23BCE" w:rsidRDefault="00000000">
      <w:pPr>
        <w:pStyle w:val="ListBullet"/>
      </w:pPr>
      <w:r>
        <w:t>Distributed transformations and aggregations with PySpark.</w:t>
      </w:r>
    </w:p>
    <w:p w14:paraId="15174F2B" w14:textId="77777777" w:rsidR="00E23BCE" w:rsidRDefault="00000000">
      <w:pPr>
        <w:pStyle w:val="ListBullet"/>
      </w:pPr>
      <w:r>
        <w:t>Medallion architecture and partitioned Parquet design.</w:t>
      </w:r>
    </w:p>
    <w:p w14:paraId="3A44EB34" w14:textId="77777777" w:rsidR="00E23BCE" w:rsidRDefault="00000000">
      <w:pPr>
        <w:pStyle w:val="ListBullet"/>
      </w:pPr>
      <w:r>
        <w:t>Containerized local development with Docker Compose.</w:t>
      </w:r>
    </w:p>
    <w:p w14:paraId="010007C8" w14:textId="77777777" w:rsidR="00E23BCE" w:rsidRDefault="00000000">
      <w:pPr>
        <w:pStyle w:val="ListBullet"/>
      </w:pPr>
      <w:r>
        <w:t>Metric-layer discipline through weighted DAX calculations.</w:t>
      </w:r>
    </w:p>
    <w:p w14:paraId="7937279E" w14:textId="77777777" w:rsidR="00E23BCE" w:rsidRDefault="00000000">
      <w:pPr>
        <w:pStyle w:val="ListBullet"/>
      </w:pPr>
      <w:r>
        <w:t>Business storytelling through executive and tabular Power BI pages.</w:t>
      </w:r>
    </w:p>
    <w:p w14:paraId="53F7DFCB" w14:textId="77777777" w:rsidR="00E23BCE" w:rsidRDefault="00000000">
      <w:pPr>
        <w:pStyle w:val="ListBullet"/>
      </w:pPr>
      <w:r>
        <w:t>Practical debugging across credentials, S3 endpoints, persistence, and file paths.</w:t>
      </w:r>
    </w:p>
    <w:p w14:paraId="67515CD0" w14:textId="04ACE4E6" w:rsidR="00E23BCE" w:rsidRDefault="00B173FD">
      <w:pPr>
        <w:pStyle w:val="Heading2"/>
      </w:pPr>
      <w:r>
        <w:t>Overview</w:t>
      </w:r>
    </w:p>
    <w:p w14:paraId="3762913F" w14:textId="77777777" w:rsidR="00E23BCE" w:rsidRDefault="00000000">
      <w:pPr>
        <w:shd w:val="clear" w:color="auto" w:fill="EEF2F6"/>
        <w:spacing w:before="60" w:after="160" w:line="240" w:lineRule="auto"/>
        <w:ind w:left="173" w:right="173"/>
      </w:pPr>
      <w:r>
        <w:rPr>
          <w:rFonts w:ascii="Consolas" w:hAnsi="Consolas"/>
          <w:color w:val="263238"/>
          <w:sz w:val="17"/>
        </w:rPr>
        <w:t>Developed a containerized credit-risk data pipeline using Python, PySpark, Docker, and LocalStack S3; implemented Bronze/Silver/Gold layers with partitioned Parquet and delivered an interactive two-page Power BI dashboard for loan exposure and default-risk analysis.</w:t>
      </w:r>
    </w:p>
    <w:p w14:paraId="5B6AF720" w14:textId="7C8572D0" w:rsidR="00E23BCE" w:rsidRDefault="00B173FD">
      <w:pPr>
        <w:pStyle w:val="Heading2"/>
      </w:pPr>
      <w:r>
        <w:t>Discussion Points</w:t>
      </w:r>
    </w:p>
    <w:p w14:paraId="31976D47" w14:textId="77777777" w:rsidR="00E23BCE" w:rsidRDefault="00000000">
      <w:pPr>
        <w:pStyle w:val="ListBullet"/>
      </w:pPr>
      <w:r>
        <w:t>Why Parquet and partitioning were chosen for analytical reads.</w:t>
      </w:r>
    </w:p>
    <w:p w14:paraId="194810CA" w14:textId="77777777" w:rsidR="00E23BCE" w:rsidRDefault="00000000">
      <w:pPr>
        <w:pStyle w:val="ListBullet"/>
      </w:pPr>
      <w:r>
        <w:t>Why default rates and average interest rates require weighted measures.</w:t>
      </w:r>
    </w:p>
    <w:p w14:paraId="7CB8E09C" w14:textId="77777777" w:rsidR="00E23BCE" w:rsidRDefault="00000000">
      <w:pPr>
        <w:pStyle w:val="ListBullet"/>
      </w:pPr>
      <w:r>
        <w:t>How LocalStack reproduced AWS S3 development patterns without cloud cost.</w:t>
      </w:r>
    </w:p>
    <w:p w14:paraId="5B8DA899" w14:textId="77777777" w:rsidR="00E23BCE" w:rsidRDefault="00000000">
      <w:pPr>
        <w:pStyle w:val="ListBullet"/>
      </w:pPr>
      <w:r>
        <w:t>How the pipeline was debugged and made reproducible after container restarts.</w:t>
      </w:r>
    </w:p>
    <w:p w14:paraId="6489CD05" w14:textId="77777777" w:rsidR="00E23BCE" w:rsidRDefault="00000000">
      <w:pPr>
        <w:pStyle w:val="ListBullet"/>
      </w:pPr>
      <w:r>
        <w:t>How report filters move users from portfolio-level KPIs to targeted risk segments.</w:t>
      </w:r>
    </w:p>
    <w:sectPr w:rsidR="00E23BCE" w:rsidSect="00034616">
      <w:headerReference w:type="default" r:id="rId22"/>
      <w:footerReference w:type="default" r:id="rId23"/>
      <w:pgSz w:w="12240" w:h="15840"/>
      <w:pgMar w:top="1152"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3252" w14:textId="77777777" w:rsidR="004412DF" w:rsidRDefault="004412DF">
      <w:pPr>
        <w:spacing w:after="0" w:line="240" w:lineRule="auto"/>
      </w:pPr>
      <w:r>
        <w:separator/>
      </w:r>
    </w:p>
  </w:endnote>
  <w:endnote w:type="continuationSeparator" w:id="0">
    <w:p w14:paraId="2DA770CC" w14:textId="77777777" w:rsidR="004412DF" w:rsidRDefault="00441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81404" w14:textId="77777777" w:rsidR="00E23BCE" w:rsidRDefault="00E23BCE">
    <w:pPr>
      <w:pStyle w:val="Footer"/>
    </w:pPr>
  </w:p>
  <w:tbl>
    <w:tblPr>
      <w:tblW w:w="9360" w:type="dxa"/>
      <w:jc w:val="center"/>
      <w:tblLayout w:type="fixed"/>
      <w:tblLook w:val="04A0" w:firstRow="1" w:lastRow="0" w:firstColumn="1" w:lastColumn="0" w:noHBand="0" w:noVBand="1"/>
    </w:tblPr>
    <w:tblGrid>
      <w:gridCol w:w="6500"/>
      <w:gridCol w:w="2860"/>
    </w:tblGrid>
    <w:tr w:rsidR="00E23BCE" w14:paraId="5598AA9A" w14:textId="77777777">
      <w:trPr>
        <w:jc w:val="center"/>
      </w:trPr>
      <w:tc>
        <w:tcPr>
          <w:tcW w:w="6500" w:type="dxa"/>
          <w:tcMar>
            <w:top w:w="100" w:type="dxa"/>
            <w:left w:w="130" w:type="dxa"/>
            <w:bottom w:w="100" w:type="dxa"/>
            <w:right w:w="130" w:type="dxa"/>
          </w:tcMar>
          <w:vAlign w:val="center"/>
        </w:tcPr>
        <w:p w14:paraId="2FB4D63D" w14:textId="77777777" w:rsidR="00E23BCE" w:rsidRDefault="00000000">
          <w:r>
            <w:rPr>
              <w:color w:val="5B6573"/>
              <w:sz w:val="16"/>
            </w:rPr>
            <w:t>Python • PySpark • Docker • LocalStack • Power BI</w:t>
          </w:r>
        </w:p>
      </w:tc>
      <w:tc>
        <w:tcPr>
          <w:tcW w:w="2860" w:type="dxa"/>
          <w:tcMar>
            <w:top w:w="100" w:type="dxa"/>
            <w:left w:w="130" w:type="dxa"/>
            <w:bottom w:w="100" w:type="dxa"/>
            <w:right w:w="130" w:type="dxa"/>
          </w:tcMar>
          <w:vAlign w:val="center"/>
        </w:tcPr>
        <w:p w14:paraId="478BB482" w14:textId="77777777" w:rsidR="00E23BCE" w:rsidRDefault="00000000">
          <w:pPr>
            <w:jc w:val="right"/>
          </w:pPr>
          <w:r>
            <w:rPr>
              <w:color w:val="5B6573"/>
              <w:sz w:val="16"/>
            </w:rPr>
            <w:t>Portfolio Project</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70FBE" w14:textId="77777777" w:rsidR="004412DF" w:rsidRDefault="004412DF">
      <w:pPr>
        <w:spacing w:after="0" w:line="240" w:lineRule="auto"/>
      </w:pPr>
      <w:r>
        <w:separator/>
      </w:r>
    </w:p>
  </w:footnote>
  <w:footnote w:type="continuationSeparator" w:id="0">
    <w:p w14:paraId="726F3322" w14:textId="77777777" w:rsidR="004412DF" w:rsidRDefault="00441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EE5B" w14:textId="77777777" w:rsidR="00E23BCE" w:rsidRDefault="00000000">
    <w:pPr>
      <w:pStyle w:val="Header"/>
      <w:jc w:val="right"/>
    </w:pPr>
    <w:r>
      <w:rPr>
        <w:b/>
        <w:color w:val="5B6573"/>
        <w:sz w:val="16"/>
      </w:rPr>
      <w:t>CREDIT RISK DATA PIPELINE  |  PORTFOLIO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35071F"/>
    <w:multiLevelType w:val="hybridMultilevel"/>
    <w:tmpl w:val="960E2CA0"/>
    <w:lvl w:ilvl="0" w:tplc="4888F898">
      <w:start w:val="8"/>
      <w:numFmt w:val="bullet"/>
      <w:lvlText w:val="-"/>
      <w:lvlJc w:val="left"/>
      <w:pPr>
        <w:ind w:left="765" w:hanging="360"/>
      </w:pPr>
      <w:rPr>
        <w:rFonts w:ascii="Aptos" w:eastAsiaTheme="minorEastAsia" w:hAnsi="Aptos"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830408979">
    <w:abstractNumId w:val="8"/>
  </w:num>
  <w:num w:numId="2" w16cid:durableId="445004605">
    <w:abstractNumId w:val="6"/>
  </w:num>
  <w:num w:numId="3" w16cid:durableId="1906597770">
    <w:abstractNumId w:val="5"/>
  </w:num>
  <w:num w:numId="4" w16cid:durableId="688068448">
    <w:abstractNumId w:val="4"/>
  </w:num>
  <w:num w:numId="5" w16cid:durableId="130027976">
    <w:abstractNumId w:val="7"/>
  </w:num>
  <w:num w:numId="6" w16cid:durableId="881014976">
    <w:abstractNumId w:val="3"/>
  </w:num>
  <w:num w:numId="7" w16cid:durableId="977297750">
    <w:abstractNumId w:val="2"/>
  </w:num>
  <w:num w:numId="8" w16cid:durableId="59257227">
    <w:abstractNumId w:val="1"/>
  </w:num>
  <w:num w:numId="9" w16cid:durableId="1061976138">
    <w:abstractNumId w:val="0"/>
  </w:num>
  <w:num w:numId="10" w16cid:durableId="2122265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124"/>
    <w:rsid w:val="000E2EB1"/>
    <w:rsid w:val="0015074B"/>
    <w:rsid w:val="001E4EB8"/>
    <w:rsid w:val="0029639D"/>
    <w:rsid w:val="00326F90"/>
    <w:rsid w:val="003300E3"/>
    <w:rsid w:val="00374BA4"/>
    <w:rsid w:val="004412DF"/>
    <w:rsid w:val="004542A3"/>
    <w:rsid w:val="005555F2"/>
    <w:rsid w:val="0057313A"/>
    <w:rsid w:val="007C120F"/>
    <w:rsid w:val="008426CE"/>
    <w:rsid w:val="00966E55"/>
    <w:rsid w:val="009B727F"/>
    <w:rsid w:val="00AA1D8D"/>
    <w:rsid w:val="00B173FD"/>
    <w:rsid w:val="00B47730"/>
    <w:rsid w:val="00C1265C"/>
    <w:rsid w:val="00CB0664"/>
    <w:rsid w:val="00D02A59"/>
    <w:rsid w:val="00D057F4"/>
    <w:rsid w:val="00E23BCE"/>
    <w:rsid w:val="00EA53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6DE5D"/>
  <w14:defaultImageDpi w14:val="300"/>
  <w15:docId w15:val="{0BEE6A08-A8D3-4097-81D7-FE806FCC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0"/>
    </w:rPr>
  </w:style>
  <w:style w:type="paragraph" w:styleId="ListBullet2">
    <w:name w:val="List Bullet 2"/>
    <w:basedOn w:val="Normal"/>
    <w:uiPriority w:val="99"/>
    <w:unhideWhenUsed/>
    <w:rsid w:val="00326F90"/>
    <w:pPr>
      <w:numPr>
        <w:numId w:val="2"/>
      </w:numPr>
      <w:spacing w:after="8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13</Pages>
  <Words>2012</Words>
  <Characters>11470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Credit Risk Data Pipeline — Portfolio Overview</vt:lpstr>
    </vt:vector>
  </TitlesOfParts>
  <Manager/>
  <Company/>
  <LinksUpToDate>false</LinksUpToDate>
  <CharactersWithSpaces>13456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Data Pipeline — Portfolio Overview</dc:title>
  <dc:subject>Step-by-step end-to-end data engineering and Power BI project overview</dc:subject>
  <dc:creator>Dan Harig</dc:creator>
  <cp:keywords>Python, PySpark, Docker, LocalStack, S3, Parquet, Power BI, DAX</cp:keywords>
  <dc:description>generated by python-docx</dc:description>
  <cp:lastModifiedBy>Dan Harig</cp:lastModifiedBy>
  <cp:revision>11</cp:revision>
  <dcterms:created xsi:type="dcterms:W3CDTF">2013-12-23T23:15:00Z</dcterms:created>
  <dcterms:modified xsi:type="dcterms:W3CDTF">2026-08-04T19:36:00Z</dcterms:modified>
  <cp:category/>
</cp:coreProperties>
</file>