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Response Plan</w:t>
      </w:r>
    </w:p>
    <w:p>
      <w:pPr>
        <w:pStyle w:val="Heading1"/>
      </w:pPr>
      <w:r>
        <w:t>1. Purpose and Scope</w:t>
      </w:r>
    </w:p>
    <w:p>
      <w:r>
        <w:t>This Incident Response Plan outlines the procedures for identifying, reporting, and managing IT security incidents at Larkspur Freight. The plan applies to all employees, contractors, and third-party vendors with access to company systems, including those in the Chicago HQ, Dallas Terminal, and Vancouver Office. All incidents involving data loss, unauthorized access, or service disruption must be reported within 30 minutes of discovery. The plan covers incidents affecting our core systems (e.g., FleetOps, CargoTrack, and the Larkspur Portal) and any third-party integrations, such as with SecureSync (our MFA provider) and DataGuard (our cloud backup vendor).</w:t>
      </w:r>
    </w:p>
    <w:p>
      <w:pPr>
        <w:pStyle w:val="Heading1"/>
      </w:pPr>
      <w:r>
        <w:t>2. Incident Identification and Reporting</w:t>
      </w:r>
    </w:p>
    <w:p>
      <w:r>
        <w:t>Employees must report suspected security incidents immediately via the IT Security Portal or by calling the 24/7 hotline at ext. 4411. For the Dallas Terminal, incidents can also be reported directly to the on-site IT coordinator, Maria Chen. Required information includes:</w:t>
      </w:r>
    </w:p>
    <w:p>
      <w:pPr>
        <w:pStyle w:val="ListBullet"/>
      </w:pPr>
      <w:r>
        <w:t>Date/time of incident</w:t>
      </w:r>
    </w:p>
    <w:p>
      <w:pPr>
        <w:pStyle w:val="ListBullet"/>
      </w:pPr>
      <w:r>
        <w:t>Systems/users affected</w:t>
      </w:r>
    </w:p>
    <w:p>
      <w:pPr>
        <w:pStyle w:val="ListBullet"/>
      </w:pPr>
      <w:r>
        <w:t>Description of suspicious activity</w:t>
      </w:r>
    </w:p>
    <w:p>
      <w:pPr>
        <w:pStyle w:val="ListBullet"/>
      </w:pPr>
      <w:r>
        <w:t>Any actions already taken</w:t>
      </w:r>
    </w:p>
    <w:p>
      <w:r>
        <w:t>All reports are logged in the Incident Tracker (powered by SentinelOne) and assigned a unique case ID. Failure to report within 30 minutes may result in a written warning (per HR Policy 4.2).</w:t>
      </w:r>
    </w:p>
    <w:p>
      <w:pPr>
        <w:pStyle w:val="Heading1"/>
      </w:pPr>
      <w:r>
        <w:t>3. Initial Assessment and Triage</w:t>
      </w:r>
    </w:p>
    <w:p>
      <w:r>
        <w:t>The IT Security Team, led by Raj Patel (CISO), will review new incident reports within 2 business hours. Incidents are classified as Low, Medium, or High severity based on:</w:t>
      </w:r>
    </w:p>
    <w:p>
      <w:pPr>
        <w:pStyle w:val="ListBullet"/>
      </w:pPr>
      <w:r>
        <w:t>Number of users affected (e.g., &gt;50 users = High)</w:t>
      </w:r>
    </w:p>
    <w:p>
      <w:pPr>
        <w:pStyle w:val="ListBullet"/>
      </w:pPr>
      <w:r>
        <w:t>Data sensitivity (e.g., customer PII = High)</w:t>
      </w:r>
    </w:p>
    <w:p>
      <w:pPr>
        <w:pStyle w:val="ListBullet"/>
      </w:pPr>
      <w:r>
        <w:t>Financial impact (e.g., &gt;$5,000 USD loss = High)</w:t>
      </w:r>
    </w:p>
    <w:p>
      <w:r>
        <w:t>For High severity incidents, the team must notify the Executive Committee and legal counsel (via the SecureSync channel) within 1 hour. Medium and Low severity incidents are reviewed weekly in the Friday IT Security Standup.</w:t>
      </w:r>
    </w:p>
    <w:p>
      <w:pPr>
        <w:pStyle w:val="Heading1"/>
      </w:pPr>
      <w:r>
        <w:t>4. Containment and Eradication</w:t>
      </w:r>
    </w:p>
    <w:p>
      <w:r>
        <w:t>Upon classification, the IT Security Team will initiate containment steps. For malware outbreaks, affected endpoints are isolated using SentinelOne within 15 minutes. For unauthorized access, user accounts are disabled in Okta and passwords reset. The Vancouver Office requires all endpoints to be reimaged by the local IT vendor, NorthStar Tech, within 24 hours. All containment actions must be documented in the Incident Tracker, including:</w:t>
      </w:r>
    </w:p>
    <w:p>
      <w:pPr>
        <w:pStyle w:val="ListBullet"/>
      </w:pPr>
      <w:r>
        <w:t>Timestamp of action</w:t>
      </w:r>
    </w:p>
    <w:p>
      <w:pPr>
        <w:pStyle w:val="ListBullet"/>
      </w:pPr>
      <w:r>
        <w:t>Personnel involved</w:t>
      </w:r>
    </w:p>
    <w:p>
      <w:pPr>
        <w:pStyle w:val="ListBullet"/>
      </w:pPr>
      <w:r>
        <w:t>Systems isolated or restored</w:t>
      </w:r>
    </w:p>
    <w:p>
      <w:r>
        <w:t>Eradication steps (e.g., malware removal, patch deployment) must be completed within 48 hours for High severity incidents.</w:t>
      </w:r>
    </w:p>
    <w:p>
      <w:pPr>
        <w:pStyle w:val="Heading1"/>
      </w:pPr>
      <w:r>
        <w:t>5. Notification and Communication</w:t>
      </w:r>
    </w:p>
    <w:p>
      <w:r>
        <w:t>For incidents involving customer data or regulatory impact, the Compliance Officer (Sandra Liu) must be notified within 2 hours. External notifications (e.g., to customers, regulators, or law enforcement) require approval from the CISO and Legal. The Chicago HQ follows Illinois Breach Notification Law, requiring customer notification within 5 business days if &gt;500 records are affected. All communications must use the approved incident templates stored in the IT-Security SharePoint folder. Only designated spokespeople (Raj Patel or Sandra Liu) may communicate externally.</w:t>
      </w:r>
    </w:p>
    <w:p>
      <w:pPr>
        <w:pStyle w:val="Heading1"/>
      </w:pPr>
      <w:r>
        <w:t>6. Recovery and Restoration</w:t>
      </w:r>
    </w:p>
    <w:p>
      <w:r>
        <w:t>Systems may only be restored after written approval from the IT Security Team Lead. DataGuard backups must be used to restore any lost or corrupted data. For Dallas Terminal, restoration must be completed within 36 hours of containment. All restored systems must pass a vulnerability scan (using Nessus Pro) before being returned to production. Affected users are notified via email and required to reset passwords. Any financial losses over $2,000 USD must be reported to the CFO (James O’Malley) within 24 hours of discovery.</w:t>
      </w:r>
    </w:p>
    <w:p>
      <w:pPr>
        <w:pStyle w:val="Heading1"/>
      </w:pPr>
      <w:r>
        <w:t>7. Post-Incident Review and Documentation</w:t>
      </w:r>
    </w:p>
    <w:p>
      <w:r>
        <w:t>Within 7 days of incident closure, the IT Security Team will conduct a post-incident review. The review includes:</w:t>
      </w:r>
    </w:p>
    <w:p>
      <w:pPr>
        <w:pStyle w:val="ListBullet"/>
      </w:pPr>
      <w:r>
        <w:t>Timeline of events</w:t>
      </w:r>
    </w:p>
    <w:p>
      <w:pPr>
        <w:pStyle w:val="ListBullet"/>
      </w:pPr>
      <w:r>
        <w:t>Root cause analysis</w:t>
      </w:r>
    </w:p>
    <w:p>
      <w:pPr>
        <w:pStyle w:val="ListBullet"/>
      </w:pPr>
      <w:r>
        <w:t>Lessons learned</w:t>
      </w:r>
    </w:p>
    <w:p>
      <w:pPr>
        <w:pStyle w:val="ListBullet"/>
      </w:pPr>
      <w:r>
        <w:t>Recommendations for process improvement</w:t>
      </w:r>
    </w:p>
    <w:p>
      <w:r>
        <w:t>All documentation is stored in the Incident Tracker and reviewed quarterly by the Audit Committee. For incidents involving third-party vendors (e.g., NorthStar Tech, DataGuard), a joint review is required. Any policy changes must be approved by the CISO and communicated to all staff within 10 business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Plan</dc:title>
  <dc:subject/>
  <dc:creator>Benji Morales</dc:creator>
  <cp:keywords/>
  <dc:description>generated by python-docx</dc:description>
  <cp:lastModifiedBy/>
  <cp:revision>1</cp:revision>
  <dcterms:created xsi:type="dcterms:W3CDTF">2013-12-23T23:15:00Z</dcterms:created>
  <dcterms:modified xsi:type="dcterms:W3CDTF">2013-12-23T23:15:00Z</dcterms:modified>
  <cp:category/>
</cp:coreProperties>
</file>