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78FF"/>
          <w:sz w:val="40"/>
          <w:szCs w:val="40"/>
        </w:rPr>
        <w:t xml:space="preserve">Anthropic API Roadmap</w:t>
      </w:r>
    </w:p>
    <w:p>
      <w:pPr>
        <w:spacing w:after="200"/>
      </w:pPr>
      <w:r>
        <w:rPr>
          <w:i/>
          <w:iCs/>
          <w:color w:val="595959"/>
          <w:sz w:val="22"/>
          <w:szCs w:val="22"/>
        </w:rPr>
        <w:t xml:space="preserve">Feature ideas for the Momentive website, beyond the Solution/Resource relevance tagger</w:t>
      </w:r>
    </w:p>
    <w:p>
      <w:pPr>
        <w:spacing w:after="260"/>
      </w:pPr>
      <w:r>
        <w:rPr>
          <w:b/>
          <w:bCs/>
          <w:color w:val="1A1A1A"/>
          <w:sz w:val="21"/>
          <w:szCs w:val="21"/>
        </w:rPr>
        <w:t xml:space="preserve">Prepared by: </w:t>
      </w:r>
      <w:r>
        <w:rPr>
          <w:color w:val="1A1A1A"/>
          <w:sz w:val="21"/>
          <w:szCs w:val="21"/>
        </w:rPr>
        <w:t xml:space="preserve">Daniel Heller  </w:t>
      </w:r>
      <w:r>
        <w:rPr>
          <w:b/>
          <w:bCs/>
          <w:color w:val="1A1A1A"/>
          <w:sz w:val="21"/>
          <w:szCs w:val="21"/>
        </w:rPr>
        <w:t xml:space="preserve">For: </w:t>
      </w:r>
      <w:r>
        <w:rPr>
          <w:color w:val="1A1A1A"/>
          <w:sz w:val="21"/>
          <w:szCs w:val="21"/>
        </w:rPr>
        <w:t xml:space="preserve">Greg (project handover during parental leave)  </w:t>
      </w:r>
      <w:r>
        <w:rPr>
          <w:b/>
          <w:bCs/>
          <w:color w:val="1A1A1A"/>
          <w:sz w:val="21"/>
          <w:szCs w:val="21"/>
        </w:rPr>
        <w:t xml:space="preserve">Date: </w:t>
      </w:r>
      <w:r>
        <w:rPr>
          <w:color w:val="1A1A1A"/>
          <w:sz w:val="21"/>
          <w:szCs w:val="21"/>
        </w:rPr>
        <w:t xml:space="preserve">July 23, 2026</w:t>
      </w:r>
    </w:p>
    <w:p>
      <w:pPr>
        <w:pStyle w:val="Heading1"/>
        <w:spacing w:after="140" w:before="320"/>
      </w:pPr>
      <w:r>
        <w:rPr>
          <w:b/>
          <w:bCs/>
          <w:color w:val="0078FF"/>
          <w:sz w:val="27"/>
          <w:szCs w:val="27"/>
        </w:rPr>
        <w:t xml:space="preserve">Why this document exists</w:t>
      </w:r>
    </w:p>
    <w:p>
      <w:pPr>
        <w:spacing w:after="140"/>
      </w:pPr>
      <w:r>
        <w:rPr>
          <w:color w:val="1A1A1A"/>
          <w:sz w:val="21"/>
          <w:szCs w:val="21"/>
        </w:rPr>
        <w:t xml:space="preserve">The Anthropic API request currently in flight covers one feature: automatically tagging blog posts, case studies, webinars, whitepapers, and guides with the specific child Solution page(s) they're genuinely relevant to. That budget is deliberately small. This doc explains how that feature works, so it's easy to champion and defend, and lays out a set of follow-on ideas — several of which reuse the same infrastructure almost for free — worth raising as separate, incremental requests rather than bundling into one large ask.</w:t>
      </w:r>
    </w:p>
    <w:p>
      <w:pPr>
        <w:pStyle w:val="Heading1"/>
        <w:spacing w:after="140" w:before="320"/>
      </w:pPr>
      <w:r>
        <w:rPr>
          <w:b/>
          <w:bCs/>
          <w:color w:val="0078FF"/>
          <w:sz w:val="27"/>
          <w:szCs w:val="27"/>
        </w:rPr>
        <w:t xml:space="preserve">First: get your own API access</w:t>
      </w:r>
    </w:p>
    <w:tbl>
      <w:tblPr>
        <w:tblW w:type="dxa" w:w="9350"/>
        <w:tblBorders>
          <w:top w:val="single" w:color="0078FF" w:sz="4"/>
          <w:left w:val="single" w:color="0078FF" w:sz="4"/>
          <w:bottom w:val="single" w:color="0078FF" w:sz="4"/>
          <w:right w:val="single" w:color="0078FF" w:sz="4"/>
          <w:insideH w:val="none" w:color="FFFFFF" w:sz="0"/>
          <w:insideV w:val="none" w:color="FFFFFF" w:sz="0"/>
        </w:tblBorders>
      </w:tblPr>
      <w:tblGrid>
        <w:gridCol w:w="9350"/>
      </w:tblGrid>
      <w:tr>
        <w:tc>
          <w:tcPr>
            <w:tcW w:type="dxa" w:w="9350"/>
            <w:shd w:fill="EAF3FF" w:val="clear"/>
            <w:tcMar>
              <w:top w:type="dxa" w:w="160"/>
              <w:left w:type="dxa" w:w="200"/>
              <w:bottom w:type="dxa" w:w="160"/>
              <w:right w:type="dxa" w:w="200"/>
            </w:tcMar>
          </w:tcPr>
          <w:p>
            <w:pPr>
              <w:spacing w:after="60"/>
            </w:pPr>
            <w:r>
              <w:rPr>
                <w:b/>
                <w:bCs/>
                <w:color w:val="1A1A1A"/>
                <w:sz w:val="21"/>
                <w:szCs w:val="21"/>
              </w:rPr>
              <w:t xml:space="preserve">Request your own Anthropic API access under your own work email, rather than working through Daniel's.</w:t>
            </w:r>
          </w:p>
          <w:p>
            <w:r>
              <w:rPr>
                <w:color w:val="1A1A1A"/>
                <w:sz w:val="21"/>
                <w:szCs w:val="21"/>
              </w:rPr>
              <w:t xml:space="preserve">A single key tied to one person's account becomes a bottleneck the moment that person is out — approvals, billing visibility, and key rotation all route through them. Since you're the one who'll be championing and likely managing this while Daniel is on leave, put in a small-budget request in your own name now, even if it just mirrors the existing one. It also gives you a clean track record to point to if you want to make the case for expanding scope later.</w:t>
            </w:r>
          </w:p>
        </w:tc>
      </w:tr>
    </w:tbl>
    <w:p>
      <w:pPr>
        <w:pStyle w:val="Heading1"/>
        <w:spacing w:after="140" w:before="320"/>
      </w:pPr>
      <w:r>
        <w:rPr>
          <w:b/>
          <w:bCs/>
          <w:color w:val="0078FF"/>
          <w:sz w:val="27"/>
          <w:szCs w:val="27"/>
        </w:rPr>
        <w:t xml:space="preserve">Already approved: Solution &amp; Resource relevance tagging</w:t>
      </w:r>
    </w:p>
    <w:p>
      <w:pPr>
        <w:spacing w:after="140"/>
      </w:pPr>
      <w:r>
        <w:rPr>
          <w:color w:val="1A1A1A"/>
          <w:sz w:val="21"/>
          <w:szCs w:val="21"/>
        </w:rPr>
        <w:t xml:space="preserve">This is the feature the current budget covers. Worth understanding in some depth, since it's the template most of the ideas below extend.</w:t>
      </w:r>
    </w:p>
    <w:p>
      <w:pPr>
        <w:pStyle w:val="Heading2"/>
        <w:spacing w:after="90" w:before="220"/>
      </w:pPr>
      <w:r>
        <w:rPr>
          <w:b/>
          <w:bCs/>
          <w:color w:val="1A1A1A"/>
          <w:sz w:val="23"/>
          <w:szCs w:val="23"/>
        </w:rPr>
        <w:t xml:space="preserve">The problem it replaces</w:t>
      </w:r>
    </w:p>
    <w:p>
      <w:pPr>
        <w:spacing w:after="140"/>
      </w:pPr>
      <w:r>
        <w:rPr>
          <w:color w:val="1A1A1A"/>
          <w:sz w:val="21"/>
          <w:szCs w:val="21"/>
        </w:rPr>
        <w:t xml:space="preserve">The legacy site had a manual “Featured Resources” admin screen: an editor hand-picked content per top-level Solution category (~11 of them). That's too coarse for the ~87 child Solution pages we now have — a Ticketing page would inherit whatever was picked for Fundraising broadly, so “featured” content was often only tangentially related to the specific page it appeared on. Re-doing that picking by hand at the child level would be a worse editorial burden, not a better one — exactly the kind of judgment call worth delegating to an LLM.</w:t>
      </w:r>
    </w:p>
    <w:p>
      <w:pPr>
        <w:pStyle w:val="Heading2"/>
        <w:spacing w:after="90" w:before="220"/>
      </w:pPr>
      <w:r>
        <w:rPr>
          <w:b/>
          <w:bCs/>
          <w:color w:val="1A1A1A"/>
          <w:sz w:val="23"/>
          <w:szCs w:val="23"/>
        </w:rPr>
        <w:t xml:space="preserve">How it actually works</w:t>
      </w:r>
    </w:p>
    <w:p>
      <w:pPr>
        <w:pStyle w:val="ListParagraph"/>
        <w:numPr>
          <w:ilvl w:val="0"/>
          <w:numId w:val="2"/>
        </w:numPr>
        <w:spacing w:after="80"/>
      </w:pPr>
      <w:r>
        <w:rPr>
          <w:color w:val="1A1A1A"/>
          <w:sz w:val="21"/>
          <w:szCs w:val="21"/>
        </w:rPr>
        <w:t xml:space="preserve">Trigger: whenever a blog post, case study, webinar, whitepaper, or guide is published or updated (momentive_get_resource_post_types() in inc/resources.php is the single list of which post types count).</w:t>
      </w:r>
    </w:p>
    <w:p>
      <w:pPr>
        <w:pStyle w:val="ListParagraph"/>
        <w:numPr>
          <w:ilvl w:val="0"/>
          <w:numId w:val="2"/>
        </w:numPr>
        <w:spacing w:after="80"/>
      </w:pPr>
      <w:r>
        <w:rPr>
          <w:color w:val="1A1A1A"/>
          <w:sz w:val="21"/>
          <w:szCs w:val="21"/>
        </w:rPr>
        <w:t xml:space="preserve">Deferred, not inline: the save schedules a one-off WP-Cron event about 30 seconds later. The API call never runs on the editor's save request, so a slow or failed call can't block or break publishing.</w:t>
      </w:r>
    </w:p>
    <w:p>
      <w:pPr>
        <w:pStyle w:val="ListParagraph"/>
        <w:numPr>
          <w:ilvl w:val="0"/>
          <w:numId w:val="2"/>
        </w:numPr>
        <w:spacing w:after="80"/>
      </w:pPr>
      <w:r>
        <w:rPr>
          <w:color w:val="1A1A1A"/>
          <w:sz w:val="21"/>
          <w:szCs w:val="21"/>
        </w:rPr>
        <w:t xml:space="preserve">Skip logic (keeps cost down): a hash of the post's title/excerpt/content is stored after each successful tag. A routine save that doesn't change the substance is skipped entirely — no repeat API spend. Separately, once an editor manually edits the relevant_solutions field by hand, that post is left alone permanently, until someone explicitly runs the “Re-tag Solution relevance (AI)” bulk action — so the feature never fights an editor's deliberate override.</w:t>
      </w:r>
    </w:p>
    <w:p>
      <w:pPr>
        <w:pStyle w:val="ListParagraph"/>
        <w:numPr>
          <w:ilvl w:val="0"/>
          <w:numId w:val="2"/>
        </w:numPr>
        <w:spacing w:after="80"/>
      </w:pPr>
      <w:r>
        <w:rPr>
          <w:color w:val="1A1A1A"/>
          <w:sz w:val="21"/>
          <w:szCs w:val="21"/>
        </w:rPr>
        <w:t xml:space="preserve">The prompt: sends the post's title, excerpt, and up to ~4,000 characters of body text, plus the full list of published child Solutions (name + short description), and asks Claude to return only the ones the content is substantively about — not tangentially related — as a bare JSON array of IDs, most relevant first.</w:t>
      </w:r>
    </w:p>
    <w:p>
      <w:pPr>
        <w:pStyle w:val="ListParagraph"/>
        <w:numPr>
          <w:ilvl w:val="0"/>
          <w:numId w:val="2"/>
        </w:numPr>
        <w:spacing w:after="80"/>
      </w:pPr>
      <w:r>
        <w:rPr>
          <w:color w:val="1A1A1A"/>
          <w:sz w:val="21"/>
          <w:szCs w:val="21"/>
        </w:rPr>
        <w:t xml:space="preserve">Hallucination guard: whatever IDs come back are intersected against the real candidate list before anything is saved, so a made-up ID can never get written to the field.</w:t>
      </w:r>
    </w:p>
    <w:p>
      <w:pPr>
        <w:pStyle w:val="ListParagraph"/>
        <w:numPr>
          <w:ilvl w:val="0"/>
          <w:numId w:val="2"/>
        </w:numPr>
        <w:spacing w:after="80"/>
      </w:pPr>
      <w:r>
        <w:rPr>
          <w:color w:val="1A1A1A"/>
          <w:sz w:val="21"/>
          <w:szCs w:val="21"/>
        </w:rPr>
        <w:t xml:space="preserve">Where it lands: an ordinary ACF field (relevant_solutions, post_object/multiple) — visible and editable in the post editor like any other field, not a hidden black box.</w:t>
      </w:r>
    </w:p>
    <w:p>
      <w:pPr>
        <w:pStyle w:val="ListParagraph"/>
        <w:numPr>
          <w:ilvl w:val="0"/>
          <w:numId w:val="2"/>
        </w:numPr>
        <w:spacing w:after="80"/>
      </w:pPr>
      <w:r>
        <w:rPr>
          <w:color w:val="1A1A1A"/>
          <w:sz w:val="21"/>
          <w:szCs w:val="21"/>
        </w:rPr>
        <w:t xml:space="preserve">How it's consumed: the Solution page's resources grid checks this field first (the precise, AI-tagged match) and only tops up remaining slots from the older, coarser category-term match if there's not enough. Today's rollout can only improve what a page shows — it never removes the old fallback.</w:t>
      </w:r>
    </w:p>
    <w:p>
      <w:pPr>
        <w:pStyle w:val="ListParagraph"/>
        <w:numPr>
          <w:ilvl w:val="0"/>
          <w:numId w:val="2"/>
        </w:numPr>
        <w:spacing w:after="80"/>
      </w:pPr>
      <w:r>
        <w:rPr>
          <w:color w:val="1A1A1A"/>
          <w:sz w:val="21"/>
          <w:szCs w:val="21"/>
        </w:rPr>
        <w:t xml:space="preserve">Cost control: uses Claude Haiku by default (fast, cheap, more than enough for a yes/no relevance classification), swappable via a constant if a different model is ever warranted.</w:t>
      </w:r>
    </w:p>
    <w:p>
      <w:pPr>
        <w:pStyle w:val="Heading1"/>
        <w:spacing w:after="140" w:before="320"/>
      </w:pPr>
      <w:r>
        <w:rPr>
          <w:b/>
          <w:bCs/>
          <w:color w:val="0078FF"/>
          <w:sz w:val="27"/>
          <w:szCs w:val="27"/>
        </w:rPr>
        <w:t xml:space="preserve">Extending the same pattern (cheap, near-term)</w:t>
      </w:r>
    </w:p>
    <w:p>
      <w:pPr>
        <w:spacing w:after="140"/>
      </w:pPr>
      <w:r>
        <w:rPr>
          <w:color w:val="1A1A1A"/>
          <w:sz w:val="21"/>
          <w:szCs w:val="21"/>
        </w:rPr>
        <w:t xml:space="preserve">These reuse the trigger/hash/prompt/guardrail shape above almost unchanged — the main cost is a new candidate list and a new field, not new infrastructure.</w:t>
      </w:r>
    </w:p>
    <w:p>
      <w:pPr>
        <w:pStyle w:val="Heading2"/>
        <w:spacing w:after="90" w:before="220"/>
      </w:pPr>
      <w:r>
        <w:rPr>
          <w:b/>
          <w:bCs/>
          <w:color w:val="1A1A1A"/>
          <w:sz w:val="23"/>
          <w:szCs w:val="23"/>
        </w:rPr>
        <w:t xml:space="preserve">1. Tag testimonials the same way</w:t>
      </w:r>
    </w:p>
    <w:p>
      <w:pPr>
        <w:spacing w:after="140"/>
      </w:pPr>
      <w:r>
        <w:rPr>
          <w:color w:val="1A1A1A"/>
          <w:sz w:val="21"/>
          <w:szCs w:val="21"/>
        </w:rPr>
        <w:t xml:space="preserve">Testimonials were deliberately left out of the original resources.php scope because the CPT's Solution association is currently broken (flagged in the codebase's known-limitations list). The same publish/update-triggered job, pointed at testimonials with a testimonial-shaped prompt, would fix that gap directly.</w:t>
      </w:r>
    </w:p>
    <w:p>
      <w:pPr>
        <w:pStyle w:val="Heading2"/>
        <w:spacing w:after="90" w:before="220"/>
      </w:pPr>
      <w:r>
        <w:rPr>
          <w:b/>
          <w:bCs/>
          <w:color w:val="1A1A1A"/>
          <w:sz w:val="23"/>
          <w:szCs w:val="23"/>
        </w:rPr>
        <w:t xml:space="preserve">2. “Explore more” related-content recommendations</w:t>
      </w:r>
    </w:p>
    <w:p>
      <w:pPr>
        <w:spacing w:after="140"/>
      </w:pPr>
      <w:r>
        <w:rPr>
          <w:color w:val="1A1A1A"/>
          <w:sz w:val="21"/>
          <w:szCs w:val="21"/>
        </w:rPr>
        <w:t xml:space="preserve">Today, the related-content section shown under blog posts, press articles, and on-demand webinars (patterns/related-posts.php) picks 3 posts sharing the current post's first category term — a blunt match, and only within the same post type. The same tagging job could additionally ask Claude which other published resources (across post types) are most relevant to this specific piece, and write the result to a new relationship field on the post. The related-posts template would then prefer that field, falling back to the current category match exactly the way the Solution grid already falls back today — same two-tier shape, just applied one level down.</w:t>
      </w:r>
    </w:p>
    <w:p>
      <w:pPr>
        <w:pStyle w:val="Heading2"/>
        <w:spacing w:after="90" w:before="220"/>
      </w:pPr>
      <w:r>
        <w:rPr>
          <w:b/>
          <w:bCs/>
          <w:color w:val="1A1A1A"/>
          <w:sz w:val="23"/>
          <w:szCs w:val="23"/>
        </w:rPr>
        <w:t xml:space="preserve">3. Breadcrumb title assist</w:t>
      </w:r>
    </w:p>
    <w:p>
      <w:pPr>
        <w:spacing w:after="140"/>
      </w:pPr>
      <w:r>
        <w:rPr>
          <w:color w:val="1A1A1A"/>
          <w:sz w:val="21"/>
          <w:szCs w:val="21"/>
        </w:rPr>
        <w:t xml:space="preserve">To be clear on scope: breadcrumb_title should stay empty in the ordinary case — the breadcrumb already falls back to the post title, and that's correct most of the time. The actual opportunity is narrower: on publish, ask Claude whether a title would read awkwardly as a breadcrumb crumb (too long, redundantly worded) and only fill breadcrumb_title when it's genuinely warranted. Low-risk and low-cost — a short prompt on a field that rarely needs to be touched — and the field stays fully editable afterward, same as relevant_solutions.</w:t>
      </w:r>
    </w:p>
    <w:p>
      <w:pPr>
        <w:pStyle w:val="Heading1"/>
        <w:spacing w:after="140" w:before="320"/>
      </w:pPr>
      <w:r>
        <w:rPr>
          <w:b/>
          <w:bCs/>
          <w:color w:val="0078FF"/>
          <w:sz w:val="27"/>
          <w:szCs w:val="27"/>
        </w:rPr>
        <w:t xml:space="preserve">Icon tooling — a real manual pain point</w:t>
      </w:r>
    </w:p>
    <w:p>
      <w:pPr>
        <w:spacing w:after="140"/>
      </w:pPr>
      <w:r>
        <w:rPr>
          <w:color w:val="1A1A1A"/>
          <w:sz w:val="21"/>
          <w:szCs w:val="21"/>
        </w:rPr>
        <w:t xml:space="preserve">One correction to flag: the 11 unresolved “sol-*” icons noted from the Solutions migration are already sitting in the icon system (assets/icons/*.svg, auto-discovered — see inc/icons.php) and just need to be assigned to the right field. That part isn't an AI opportunity; it's a few minutes of admin work.</w:t>
      </w:r>
    </w:p>
    <w:p>
      <w:pPr>
        <w:spacing w:after="140"/>
      </w:pPr>
      <w:r>
        <w:rPr>
          <w:color w:val="1A1A1A"/>
          <w:sz w:val="21"/>
          <w:szCs w:val="21"/>
        </w:rPr>
        <w:t xml:space="preserve">The genuine pain point is sourcing a brand-new icon: find a match (usually on BoxIcons.com), download the SVG, then hand-edit every path/shape's fill attribute to fill="currentColor" so it inherits color correctly, before dropping the file into assets/icons/. There's no tooling around that today — the icon system just reads whatever's already in the folder.</w:t>
      </w:r>
    </w:p>
    <w:p>
      <w:pPr>
        <w:spacing w:after="140"/>
      </w:pPr>
      <w:r>
        <w:rPr>
          <w:color w:val="1A1A1A"/>
          <w:sz w:val="21"/>
          <w:szCs w:val="21"/>
        </w:rPr>
        <w:t xml:space="preserve">Feature idea: add a small tool to the existing Appearance → Icons admin page where an editor either uploads a raw SVG and asks Claude to normalize it (strip hardcoded fills/strokes, swap in currentColor, clean up export cruft) and save it straight into assets/icons/ with the right slug — or describes what they need (“icon for volunteer scheduling”) and Claude suggests a BoxIcon name to fetch and normalize the same way. Turns a several-minute manual edit into one click. Small footprint: a text/file transform, not a big classification workload.</w:t>
      </w:r>
    </w:p>
    <w:p>
      <w:pPr>
        <w:pStyle w:val="Heading1"/>
        <w:spacing w:after="140" w:before="320"/>
      </w:pPr>
      <w:r>
        <w:rPr>
          <w:b/>
          <w:bCs/>
          <w:color w:val="0078FF"/>
          <w:sz w:val="27"/>
          <w:szCs w:val="27"/>
        </w:rPr>
        <w:t xml:space="preserve">Content QA helper</w:t>
      </w:r>
    </w:p>
    <w:p>
      <w:pPr>
        <w:spacing w:after="140"/>
      </w:pPr>
      <w:r>
        <w:rPr>
          <w:color w:val="1A1A1A"/>
          <w:sz w:val="21"/>
          <w:szCs w:val="21"/>
        </w:rPr>
        <w:t xml:space="preserve">A save-time or on-demand check that flags what a human reviewer would otherwise have to notice by eye: leftover Word-paste cruft that slipped through the existing stripper, images missing alt text, and — per Daniel's note — images uploaded at unnecessarily huge file sizes or dimensions that should be resized before publishing. Cheapest way to run this is as a periodic WP-CLI report (same shape as the existing report-rebuild-progress.php / report-impact-stat-usage.php scripts) rather than a live editor feature, which keeps it a one-off-ish cost rather than an ongoing one.</w:t>
      </w:r>
    </w:p>
    <w:p>
      <w:pPr>
        <w:pStyle w:val="Heading1"/>
        <w:spacing w:after="140" w:before="320"/>
      </w:pPr>
      <w:r>
        <w:rPr>
          <w:b/>
          <w:bCs/>
          <w:color w:val="0078FF"/>
          <w:sz w:val="27"/>
          <w:szCs w:val="27"/>
        </w:rPr>
        <w:t xml:space="preserve">Longer-term / exploratory (raise later, not next)</w:t>
      </w:r>
    </w:p>
    <w:p>
      <w:pPr>
        <w:pStyle w:val="Heading2"/>
        <w:spacing w:after="90" w:before="220"/>
      </w:pPr>
      <w:r>
        <w:rPr>
          <w:b/>
          <w:bCs/>
          <w:color w:val="1A1A1A"/>
          <w:sz w:val="23"/>
          <w:szCs w:val="23"/>
        </w:rPr>
        <w:t xml:space="preserve">Editor “which block or pattern do I need” assistant</w:t>
      </w:r>
    </w:p>
    <w:p>
      <w:pPr>
        <w:spacing w:after="140"/>
      </w:pPr>
      <w:r>
        <w:rPr>
          <w:color w:val="1A1A1A"/>
          <w:sz w:val="21"/>
          <w:szCs w:val="21"/>
        </w:rPr>
        <w:t xml:space="preserve">The most speculative, highest-effort idea on this list, worth naming honestly as such: a helper inside the block editor that, given a plain description of what someone's trying to build (“I need a two-column feature list with icons”), points them to the right existing block or pattern (icon-list, stat-columns, a specific patterns/*.php file) instead of it getting reinvented from native blocks. Unlike everything above, this isn't a small backend prompt-and-save job — it needs real editor UI (a sidebar panel or command palette), so it's a genuinely bigger build, not just an API cost question. Good candidate for a future request once smaller wins have a track record — not a good first or second ask.</w:t>
      </w:r>
    </w:p>
    <w:p>
      <w:pPr>
        <w:pStyle w:val="Heading2"/>
        <w:spacing w:after="90" w:before="220"/>
      </w:pPr>
      <w:r>
        <w:rPr>
          <w:b/>
          <w:bCs/>
          <w:color w:val="1A1A1A"/>
          <w:sz w:val="23"/>
          <w:szCs w:val="23"/>
        </w:rPr>
        <w:t xml:space="preserve">Semantic search / embeddings-based recommendations</w:t>
      </w:r>
    </w:p>
    <w:p>
      <w:pPr>
        <w:spacing w:after="140"/>
      </w:pPr>
      <w:r>
        <w:rPr>
          <w:color w:val="1A1A1A"/>
          <w:sz w:val="21"/>
          <w:szCs w:val="21"/>
        </w:rPr>
        <w:t xml:space="preserve">Everything above still keys off the category taxonomy at some level. A further-out option is true semantic matching — embeddings-based search or recommendations that compare meaning rather than shared taxonomy terms. This is a materially bigger ask: an embeddings call for every resource (plus regeneration on every edit), somewhere to store and query vectors, and an ongoing per-search cost rather than a one-time per-publish tag. Worth flagging as a “phase 3” idea, not a near-term budget request.</w:t>
      </w:r>
    </w:p>
    <w:p>
      <w:pPr>
        <w:pStyle w:val="Heading1"/>
        <w:spacing w:after="140" w:before="320"/>
      </w:pPr>
      <w:r>
        <w:rPr>
          <w:b/>
          <w:bCs/>
          <w:color w:val="0078FF"/>
          <w:sz w:val="27"/>
          <w:szCs w:val="27"/>
        </w:rPr>
        <w:t xml:space="preserve">Suggested sequencing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50"/>
        <w:gridCol w:w="4700"/>
      </w:tblGrid>
      <w:tr>
        <w:trPr>
          <w:tblHeader/>
        </w:trPr>
        <w:tc>
          <w:tcPr>
            <w:tcW w:type="dxa" w:w="3000"/>
            <w:shd w:fill="0078FF" w:val="clear"/>
            <w:tcMar>
              <w:top w:type="dxa" w:w="100"/>
              <w:left w:type="dxa" w:w="120"/>
              <w:bottom w:type="dxa" w:w="100"/>
              <w:right w:type="dxa" w:w="120"/>
            </w:tcMar>
          </w:tcPr>
          <w:p>
            <w:r>
              <w:rPr>
                <w:b/>
                <w:bCs/>
                <w:color w:val="FFFFFF"/>
                <w:sz w:val="19"/>
                <w:szCs w:val="19"/>
              </w:rPr>
              <w:t xml:space="preserve">Idea</w:t>
            </w:r>
          </w:p>
        </w:tc>
        <w:tc>
          <w:tcPr>
            <w:tcW w:type="dxa" w:w="1650"/>
            <w:shd w:fill="0078FF" w:val="clear"/>
            <w:tcMar>
              <w:top w:type="dxa" w:w="100"/>
              <w:left w:type="dxa" w:w="120"/>
              <w:bottom w:type="dxa" w:w="100"/>
              <w:right w:type="dxa" w:w="120"/>
            </w:tcMar>
          </w:tcPr>
          <w:p>
            <w:r>
              <w:rPr>
                <w:b/>
                <w:bCs/>
                <w:color w:val="FFFFFF"/>
                <w:sz w:val="19"/>
                <w:szCs w:val="19"/>
              </w:rPr>
              <w:t xml:space="preserve">Effort / cost</w:t>
            </w:r>
          </w:p>
        </w:tc>
        <w:tc>
          <w:tcPr>
            <w:tcW w:type="dxa" w:w="4700"/>
            <w:shd w:fill="0078FF" w:val="clear"/>
            <w:tcMar>
              <w:top w:type="dxa" w:w="100"/>
              <w:left w:type="dxa" w:w="120"/>
              <w:bottom w:type="dxa" w:w="100"/>
              <w:right w:type="dxa" w:w="120"/>
            </w:tcMar>
          </w:tcPr>
          <w:p>
            <w:r>
              <w:rPr>
                <w:b/>
                <w:bCs/>
                <w:color w:val="FFFFFF"/>
                <w:sz w:val="19"/>
                <w:szCs w:val="19"/>
              </w:rPr>
              <w:t xml:space="preserve">Why it's in this tier</w:t>
            </w:r>
          </w:p>
        </w:tc>
      </w:tr>
      <w:tr>
        <w:tc>
          <w:tcPr>
            <w:tcW w:type="dxa" w:w="3000"/>
            <w:gridSpan w:val="3"/>
            <w:shd w:fill="D9E8FF" w:val="clear"/>
            <w:tcMar>
              <w:top w:type="dxa" w:w="90"/>
              <w:left w:type="dxa" w:w="120"/>
              <w:bottom w:type="dxa" w:w="90"/>
              <w:right w:type="dxa" w:w="120"/>
            </w:tcMar>
          </w:tcPr>
          <w:p>
            <w:r>
              <w:rPr>
                <w:b/>
                <w:bCs/>
                <w:color w:val="0078FF"/>
                <w:sz w:val="19"/>
                <w:szCs w:val="19"/>
              </w:rPr>
              <w:t xml:space="preserve">TIER 1 — request next, reuses the tagging plumbing already built</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Testimonial relevance tagging</w:t>
            </w:r>
          </w:p>
        </w:tc>
        <w:tc>
          <w:tcPr>
            <w:tcW w:type="dxa" w:w="1650"/>
            <w:tcMar>
              <w:top w:type="dxa" w:w="90"/>
              <w:left w:type="dxa" w:w="120"/>
              <w:bottom w:type="dxa" w:w="90"/>
              <w:right w:type="dxa" w:w="120"/>
            </w:tcMar>
          </w:tcPr>
          <w:p>
            <w:r>
              <w:rPr>
                <w:color w:val="1A1A1A"/>
                <w:sz w:val="19"/>
                <w:szCs w:val="19"/>
              </w:rPr>
              <w:t xml:space="preserve">Small</w:t>
            </w:r>
          </w:p>
        </w:tc>
        <w:tc>
          <w:tcPr>
            <w:tcW w:type="dxa" w:w="4700"/>
            <w:tcMar>
              <w:top w:type="dxa" w:w="90"/>
              <w:left w:type="dxa" w:w="120"/>
              <w:bottom w:type="dxa" w:w="90"/>
              <w:right w:type="dxa" w:w="120"/>
            </w:tcMar>
          </w:tcPr>
          <w:p>
            <w:r>
              <w:rPr>
                <w:color w:val="1A1A1A"/>
                <w:sz w:val="19"/>
                <w:szCs w:val="19"/>
              </w:rPr>
              <w:t xml:space="preserve">Same trigger / hash / prompt shape as the Solution tagger — just a new candidate list and field.</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Related-content recommendations (“Explore more”)</w:t>
            </w:r>
          </w:p>
        </w:tc>
        <w:tc>
          <w:tcPr>
            <w:tcW w:type="dxa" w:w="1650"/>
            <w:tcMar>
              <w:top w:type="dxa" w:w="90"/>
              <w:left w:type="dxa" w:w="120"/>
              <w:bottom w:type="dxa" w:w="90"/>
              <w:right w:type="dxa" w:w="120"/>
            </w:tcMar>
          </w:tcPr>
          <w:p>
            <w:r>
              <w:rPr>
                <w:color w:val="1A1A1A"/>
                <w:sz w:val="19"/>
                <w:szCs w:val="19"/>
              </w:rPr>
              <w:t xml:space="preserve">Small–Medium</w:t>
            </w:r>
          </w:p>
        </w:tc>
        <w:tc>
          <w:tcPr>
            <w:tcW w:type="dxa" w:w="4700"/>
            <w:tcMar>
              <w:top w:type="dxa" w:w="90"/>
              <w:left w:type="dxa" w:w="120"/>
              <w:bottom w:type="dxa" w:w="90"/>
              <w:right w:type="dxa" w:w="120"/>
            </w:tcMar>
          </w:tcPr>
          <w:p>
            <w:r>
              <w:rPr>
                <w:color w:val="1A1A1A"/>
                <w:sz w:val="19"/>
                <w:szCs w:val="19"/>
              </w:rPr>
              <w:t xml:space="preserve">Same publish-time job, new field on the post itself, same two-tier fallback pattern as solution-resources.</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Breadcrumb title assist</w:t>
            </w:r>
          </w:p>
        </w:tc>
        <w:tc>
          <w:tcPr>
            <w:tcW w:type="dxa" w:w="1650"/>
            <w:tcMar>
              <w:top w:type="dxa" w:w="90"/>
              <w:left w:type="dxa" w:w="120"/>
              <w:bottom w:type="dxa" w:w="90"/>
              <w:right w:type="dxa" w:w="120"/>
            </w:tcMar>
          </w:tcPr>
          <w:p>
            <w:r>
              <w:rPr>
                <w:color w:val="1A1A1A"/>
                <w:sz w:val="19"/>
                <w:szCs w:val="19"/>
              </w:rPr>
              <w:t xml:space="preserve">Small</w:t>
            </w:r>
          </w:p>
        </w:tc>
        <w:tc>
          <w:tcPr>
            <w:tcW w:type="dxa" w:w="4700"/>
            <w:tcMar>
              <w:top w:type="dxa" w:w="90"/>
              <w:left w:type="dxa" w:w="120"/>
              <w:bottom w:type="dxa" w:w="90"/>
              <w:right w:type="dxa" w:w="120"/>
            </w:tcMar>
          </w:tcPr>
          <w:p>
            <w:r>
              <w:rPr>
                <w:color w:val="1A1A1A"/>
                <w:sz w:val="19"/>
                <w:szCs w:val="19"/>
              </w:rPr>
              <w:t xml:space="preserve">Tiny prompt, only fires when a title is genuinely long; field stays empty otherwise.</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Content QA report (cruft / alt text / oversized images)</w:t>
            </w:r>
          </w:p>
        </w:tc>
        <w:tc>
          <w:tcPr>
            <w:tcW w:type="dxa" w:w="1650"/>
            <w:tcMar>
              <w:top w:type="dxa" w:w="90"/>
              <w:left w:type="dxa" w:w="120"/>
              <w:bottom w:type="dxa" w:w="90"/>
              <w:right w:type="dxa" w:w="120"/>
            </w:tcMar>
          </w:tcPr>
          <w:p>
            <w:r>
              <w:rPr>
                <w:color w:val="1A1A1A"/>
                <w:sz w:val="19"/>
                <w:szCs w:val="19"/>
              </w:rPr>
              <w:t xml:space="preserve">Small</w:t>
            </w:r>
          </w:p>
        </w:tc>
        <w:tc>
          <w:tcPr>
            <w:tcW w:type="dxa" w:w="4700"/>
            <w:tcMar>
              <w:top w:type="dxa" w:w="90"/>
              <w:left w:type="dxa" w:w="120"/>
              <w:bottom w:type="dxa" w:w="90"/>
              <w:right w:type="dxa" w:w="120"/>
            </w:tcMar>
          </w:tcPr>
          <w:p>
            <w:r>
              <w:rPr>
                <w:color w:val="1A1A1A"/>
                <w:sz w:val="19"/>
                <w:szCs w:val="19"/>
              </w:rPr>
              <w:t xml:space="preserve">One-off or periodic WP-CLI report, not a live editor feature — cheapest way to run it.</w:t>
            </w:r>
          </w:p>
        </w:tc>
      </w:tr>
      <w:tr>
        <w:tc>
          <w:tcPr>
            <w:tcW w:type="dxa" w:w="3000"/>
            <w:gridSpan w:val="3"/>
            <w:shd w:fill="D9E8FF" w:val="clear"/>
            <w:tcMar>
              <w:top w:type="dxa" w:w="90"/>
              <w:left w:type="dxa" w:w="120"/>
              <w:bottom w:type="dxa" w:w="90"/>
              <w:right w:type="dxa" w:w="120"/>
            </w:tcMar>
          </w:tcPr>
          <w:p>
            <w:r>
              <w:rPr>
                <w:b/>
                <w:bCs/>
                <w:color w:val="0078FF"/>
                <w:sz w:val="19"/>
                <w:szCs w:val="19"/>
              </w:rPr>
              <w:t xml:space="preserve">TIER 2 — worthwhile, needs a bit more design</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Icon fetch / normalize tool</w:t>
            </w:r>
          </w:p>
        </w:tc>
        <w:tc>
          <w:tcPr>
            <w:tcW w:type="dxa" w:w="1650"/>
            <w:tcMar>
              <w:top w:type="dxa" w:w="90"/>
              <w:left w:type="dxa" w:w="120"/>
              <w:bottom w:type="dxa" w:w="90"/>
              <w:right w:type="dxa" w:w="120"/>
            </w:tcMar>
          </w:tcPr>
          <w:p>
            <w:r>
              <w:rPr>
                <w:color w:val="1A1A1A"/>
                <w:sz w:val="19"/>
                <w:szCs w:val="19"/>
              </w:rPr>
              <w:t xml:space="preserve">Small–Medium</w:t>
            </w:r>
          </w:p>
        </w:tc>
        <w:tc>
          <w:tcPr>
            <w:tcW w:type="dxa" w:w="4700"/>
            <w:tcMar>
              <w:top w:type="dxa" w:w="90"/>
              <w:left w:type="dxa" w:w="120"/>
              <w:bottom w:type="dxa" w:w="90"/>
              <w:right w:type="dxa" w:w="120"/>
            </w:tcMar>
          </w:tcPr>
          <w:p>
            <w:r>
              <w:rPr>
                <w:color w:val="1A1A1A"/>
                <w:sz w:val="19"/>
                <w:szCs w:val="19"/>
              </w:rPr>
              <w:t xml:space="preserve">Mostly a text transform (SVG fill cleanup); needs a small admin UI, not a classification call.</w:t>
            </w:r>
          </w:p>
        </w:tc>
      </w:tr>
      <w:tr>
        <w:tc>
          <w:tcPr>
            <w:tcW w:type="dxa" w:w="3000"/>
            <w:gridSpan w:val="3"/>
            <w:shd w:fill="D9E8FF" w:val="clear"/>
            <w:tcMar>
              <w:top w:type="dxa" w:w="90"/>
              <w:left w:type="dxa" w:w="120"/>
              <w:bottom w:type="dxa" w:w="90"/>
              <w:right w:type="dxa" w:w="120"/>
            </w:tcMar>
          </w:tcPr>
          <w:p>
            <w:r>
              <w:rPr>
                <w:b/>
                <w:bCs/>
                <w:color w:val="0078FF"/>
                <w:sz w:val="19"/>
                <w:szCs w:val="19"/>
              </w:rPr>
              <w:t xml:space="preserve">TIER 3 — bigger investment, revisit once Tier 1 has a track record</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Editor “which block/pattern” assistant</w:t>
            </w:r>
          </w:p>
        </w:tc>
        <w:tc>
          <w:tcPr>
            <w:tcW w:type="dxa" w:w="1650"/>
            <w:tcMar>
              <w:top w:type="dxa" w:w="90"/>
              <w:left w:type="dxa" w:w="120"/>
              <w:bottom w:type="dxa" w:w="90"/>
              <w:right w:type="dxa" w:w="120"/>
            </w:tcMar>
          </w:tcPr>
          <w:p>
            <w:r>
              <w:rPr>
                <w:color w:val="1A1A1A"/>
                <w:sz w:val="19"/>
                <w:szCs w:val="19"/>
              </w:rPr>
              <w:t xml:space="preserve">Medium–Large</w:t>
            </w:r>
          </w:p>
        </w:tc>
        <w:tc>
          <w:tcPr>
            <w:tcW w:type="dxa" w:w="4700"/>
            <w:tcMar>
              <w:top w:type="dxa" w:w="90"/>
              <w:left w:type="dxa" w:w="120"/>
              <w:bottom w:type="dxa" w:w="90"/>
              <w:right w:type="dxa" w:w="120"/>
            </w:tcMar>
          </w:tcPr>
          <w:p>
            <w:r>
              <w:rPr>
                <w:color w:val="1A1A1A"/>
                <w:sz w:val="19"/>
                <w:szCs w:val="19"/>
              </w:rPr>
              <w:t xml:space="preserve">Real editor UI work (sidebar/command palette), not just a backend prompt.</w:t>
            </w:r>
          </w:p>
        </w:tc>
      </w:tr>
      <w:tr>
        <w:tc>
          <w:tcPr>
            <w:tcW w:type="dxa" w:w="3000"/>
            <w:gridSpan w:val="1"/>
            <w:shd w:fill="FFFFFF" w:val="clear"/>
            <w:tcMar>
              <w:top w:type="dxa" w:w="90"/>
              <w:left w:type="dxa" w:w="120"/>
              <w:bottom w:type="dxa" w:w="90"/>
              <w:right w:type="dxa" w:w="120"/>
            </w:tcMar>
          </w:tcPr>
          <w:p>
            <w:r>
              <w:rPr>
                <w:b w:val="false"/>
                <w:bCs w:val="false"/>
                <w:color w:val="1A1A1A"/>
                <w:sz w:val="19"/>
                <w:szCs w:val="19"/>
              </w:rPr>
              <w:t xml:space="preserve">Semantic search / embeddings-based recommendations</w:t>
            </w:r>
          </w:p>
        </w:tc>
        <w:tc>
          <w:tcPr>
            <w:tcW w:type="dxa" w:w="1650"/>
            <w:tcMar>
              <w:top w:type="dxa" w:w="90"/>
              <w:left w:type="dxa" w:w="120"/>
              <w:bottom w:type="dxa" w:w="90"/>
              <w:right w:type="dxa" w:w="120"/>
            </w:tcMar>
          </w:tcPr>
          <w:p>
            <w:r>
              <w:rPr>
                <w:color w:val="1A1A1A"/>
                <w:sz w:val="19"/>
                <w:szCs w:val="19"/>
              </w:rPr>
              <w:t xml:space="preserve">Large</w:t>
            </w:r>
          </w:p>
        </w:tc>
        <w:tc>
          <w:tcPr>
            <w:tcW w:type="dxa" w:w="4700"/>
            <w:tcMar>
              <w:top w:type="dxa" w:w="90"/>
              <w:left w:type="dxa" w:w="120"/>
              <w:bottom w:type="dxa" w:w="90"/>
              <w:right w:type="dxa" w:w="120"/>
            </w:tcMar>
          </w:tcPr>
          <w:p>
            <w:r>
              <w:rPr>
                <w:color w:val="1A1A1A"/>
                <w:sz w:val="19"/>
                <w:szCs w:val="19"/>
              </w:rPr>
              <w:t xml:space="preserve">Needs an embeddings pipeline, vector storage, and ongoing per-query cost — a different cost model than everything above.</w:t>
            </w:r>
          </w:p>
        </w:tc>
      </w:tr>
    </w:tbl>
    <w:p>
      <w:pPr>
        <w:spacing w:after="0" w:before="260"/>
      </w:pPr>
      <w:r>
        <w:rPr>
          <w:i/>
          <w:iCs/>
          <w:color w:val="595959"/>
          <w:sz w:val="21"/>
          <w:szCs w:val="21"/>
        </w:rPr>
        <w:t xml:space="preserve">Bottom line: get your own API access in place first, then work Tier 1 top to bottom — each one is a small, incremental ask that reuses infrastructure already paid for. Save Tier 3 for after there's a track record to point to.</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2026-07-23T16:18:00.859Z</dcterms:created>
  <dcterms:modified xsi:type="dcterms:W3CDTF">2026-07-23T16:18:00.859Z</dcterms:modified>
</cp:coreProperties>
</file>

<file path=docProps/custom.xml><?xml version="1.0" encoding="utf-8"?>
<Properties xmlns="http://schemas.openxmlformats.org/officeDocument/2006/custom-properties" xmlns:vt="http://schemas.openxmlformats.org/officeDocument/2006/docPropsVTypes"/>
</file>