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3A5C"/>
          <w:sz w:val="44"/>
          <w:szCs w:val="44"/>
        </w:rPr>
        <w:t xml:space="preserve">Critical Review</w:t>
      </w:r>
    </w:p>
    <w:p>
      <w:pPr>
        <w:spacing w:after="80"/>
        <w:jc w:val="center"/>
      </w:pPr>
      <w:r>
        <w:rPr>
          <w:rFonts w:ascii="Arial" w:cs="Arial" w:eastAsia="Arial" w:hAnsi="Arial"/>
          <w:color w:val="555555"/>
          <w:sz w:val="28"/>
          <w:szCs w:val="28"/>
        </w:rPr>
        <w:t xml:space="preserve">AIML 2003 (NLP) &amp; AIML 2013 (CV)</w:t>
      </w:r>
    </w:p>
    <w:p>
      <w:pPr>
        <w:spacing w:after="80"/>
        <w:jc w:val="center"/>
      </w:pPr>
      <w:r>
        <w:rPr>
          <w:rFonts w:ascii="Arial" w:cs="Arial" w:eastAsia="Arial" w:hAnsi="Arial"/>
          <w:color w:val="555555"/>
          <w:sz w:val="28"/>
          <w:szCs w:val="28"/>
        </w:rPr>
        <w:t xml:space="preserve">Modules 2 and 3</w:t>
      </w:r>
    </w:p>
    <w:p>
      <w:pPr>
        <w:spacing w:after="400"/>
        <w:jc w:val="center"/>
      </w:pPr>
      <w:r>
        <w:rPr>
          <w:rFonts w:ascii="Arial" w:cs="Arial" w:eastAsia="Arial" w:hAnsi="Arial"/>
          <w:color w:val="888888"/>
          <w:sz w:val="22"/>
          <w:szCs w:val="22"/>
        </w:rPr>
        <w:t xml:space="preserve">March 29, 2026</w:t>
      </w:r>
    </w:p>
    <w:p>
      <w:pPr>
        <w:pBdr>
          <w:bottom w:val="single" w:color="1A3A5C" w:sz="2" w:space="8"/>
        </w:pBdr>
        <w:spacing w:after="200"/>
      </w:pPr>
    </w:p>
    <w:p>
      <w:pPr>
        <w:pStyle w:val="Heading1"/>
        <w:spacing w:after="200" w:before="360"/>
      </w:pPr>
      <w:r>
        <w:rPr>
          <w:rFonts w:ascii="Arial" w:cs="Arial" w:eastAsia="Arial" w:hAnsi="Arial"/>
          <w:b/>
          <w:bCs/>
          <w:color w:val="1A3A5C"/>
          <w:sz w:val="32"/>
          <w:szCs w:val="32"/>
        </w:rPr>
        <w:t xml:space="preserve">1. High-Level Diagnosis</w:t>
      </w:r>
    </w:p>
    <w:p>
      <w:pPr>
        <w:spacing w:after="120" w:before="60" w:line="276"/>
      </w:pPr>
      <w:r>
        <w:rPr>
          <w:rFonts w:ascii="Arial" w:cs="Arial" w:eastAsia="Arial" w:hAnsi="Arial"/>
          <w:sz w:val="22"/>
          <w:szCs w:val="22"/>
        </w:rPr>
        <w:t xml:space="preserve">Modules 2 and 3 are pedagogically ambitious and, in most respects, well executed. The arc from hand-crafted features to learned embeddings is the right progression, and the head-to-head comparison structure (TF-IDF vs. Gemini, HOG vs. cosine retrieval, embeddings vs. hand-crafted baselines) gives students a concrete reason to care about the transition. The ethics threads are unusually strong for an introductory course: they connect directly to lab outputs rather than floating as detached prompts.</w:t>
      </w:r>
    </w:p>
    <w:p>
      <w:pPr>
        <w:spacing w:after="120" w:before="60" w:line="276"/>
      </w:pPr>
      <w:r>
        <w:rPr>
          <w:rFonts w:ascii="Arial" w:cs="Arial" w:eastAsia="Arial" w:hAnsi="Arial"/>
          <w:sz w:val="22"/>
          <w:szCs w:val="22"/>
        </w:rPr>
        <w:t xml:space="preserve">That said, the review identified seven structural problems. Two are high severity (a deliverable type contradiction that will cause grading confusion, and a missing dataset that will block lab completion), two are medium (a standards compliance gap and an incorrect forward reference), and the rest are lower-severity consistency issues. Each is documented in Section 2 below.</w:t>
      </w:r>
    </w:p>
    <w:p>
      <w:pPr>
        <w:pStyle w:val="Heading2"/>
        <w:spacing w:after="160" w:before="280"/>
      </w:pPr>
      <w:r>
        <w:rPr>
          <w:rFonts w:ascii="Arial" w:cs="Arial" w:eastAsia="Arial" w:hAnsi="Arial"/>
          <w:b/>
          <w:bCs/>
          <w:color w:val="2E5090"/>
          <w:sz w:val="26"/>
          <w:szCs w:val="26"/>
        </w:rPr>
        <w:t xml:space="preserve">Major Structural Issues</w:t>
      </w:r>
    </w:p>
    <w:p>
      <w:pPr>
        <w:pStyle w:val="ListParagraph"/>
        <w:numPr>
          <w:ilvl w:val="0"/>
          <w:numId w:val="2"/>
        </w:numPr>
        <w:spacing w:after="80" w:before="40" w:line="276"/>
      </w:pPr>
      <w:r>
        <w:rPr>
          <w:rFonts w:ascii="Arial" w:cs="Arial" w:eastAsia="Arial" w:hAnsi="Arial"/>
          <w:b/>
          <w:bCs/>
          <w:color w:val="C0392B"/>
          <w:sz w:val="22"/>
          <w:szCs w:val="22"/>
        </w:rPr>
        <w:t xml:space="preserve">[HIGH] </w:t>
      </w:r>
      <w:r>
        <w:rPr>
          <w:rFonts w:ascii="Arial" w:cs="Arial" w:eastAsia="Arial" w:hAnsi="Arial"/>
          <w:b/>
          <w:bCs/>
          <w:sz w:val="22"/>
          <w:szCs w:val="22"/>
        </w:rPr>
        <w:t xml:space="preserve">Deliverable type contradiction in Module 3 NLP. </w:t>
      </w:r>
      <w:r>
        <w:rPr>
          <w:rFonts w:ascii="Arial" w:cs="Arial" w:eastAsia="Arial" w:hAnsi="Arial"/>
          <w:sz w:val="22"/>
          <w:szCs w:val="22"/>
        </w:rPr>
        <w:t xml:space="preserve">The week-by-week table in CLAUDE.md specifies Week 4 NLP as a Demo, but the Module 3 overview and assignment pages label it a Presentation and link the Presentation rubric. Meanwhile, the lab page correctly says "Demo Prep" and references "Live Modification" (a Demo rubric criterion worth 25 points). Students will not know which rubric applies to them.</w:t>
      </w:r>
    </w:p>
    <w:p>
      <w:pPr>
        <w:pStyle w:val="ListParagraph"/>
        <w:numPr>
          <w:ilvl w:val="0"/>
          <w:numId w:val="2"/>
        </w:numPr>
        <w:spacing w:after="80" w:before="40" w:line="276"/>
      </w:pPr>
      <w:r>
        <w:rPr>
          <w:rFonts w:ascii="Arial" w:cs="Arial" w:eastAsia="Arial" w:hAnsi="Arial"/>
          <w:b/>
          <w:bCs/>
          <w:color w:val="C0392B"/>
          <w:sz w:val="22"/>
          <w:szCs w:val="22"/>
        </w:rPr>
        <w:t xml:space="preserve">[HIGH] </w:t>
      </w:r>
      <w:r>
        <w:rPr>
          <w:rFonts w:ascii="Arial" w:cs="Arial" w:eastAsia="Arial" w:hAnsi="Arial"/>
          <w:b/>
          <w:bCs/>
          <w:sz w:val="22"/>
          <w:szCs w:val="22"/>
        </w:rPr>
        <w:t xml:space="preserve">Module 3 NLP lab references a non-existent dataset file. </w:t>
      </w:r>
      <w:r>
        <w:rPr>
          <w:rFonts w:ascii="Arial" w:cs="Arial" w:eastAsia="Arial" w:hAnsi="Arial"/>
          <w:sz w:val="22"/>
          <w:szCs w:val="22"/>
        </w:rPr>
        <w:t xml:space="preserve">The lab specification says to load from </w:t>
      </w:r>
      <w:r>
        <w:rPr>
          <w:rFonts w:ascii="Courier New" w:cs="Courier New" w:eastAsia="Courier New" w:hAnsi="Courier New"/>
          <w:color w:val="C7254E"/>
          <w:sz w:val="20"/>
          <w:szCs w:val="20"/>
        </w:rPr>
        <w:t xml:space="preserve">lab3-dataset.json</w:t>
      </w:r>
      <w:r>
        <w:rPr>
          <w:rFonts w:ascii="Arial" w:cs="Arial" w:eastAsia="Arial" w:hAnsi="Arial"/>
          <w:sz w:val="22"/>
          <w:szCs w:val="22"/>
        </w:rPr>
        <w:t xml:space="preserve"> on the "lab resources page." No such file exists in the repository. Students cannot complete the lab without it.</w:t>
      </w:r>
    </w:p>
    <w:p>
      <w:pPr>
        <w:pStyle w:val="ListParagraph"/>
        <w:numPr>
          <w:ilvl w:val="0"/>
          <w:numId w:val="2"/>
        </w:numPr>
        <w:spacing w:after="80" w:before="40" w:line="276"/>
      </w:pPr>
      <w:r>
        <w:rPr>
          <w:rFonts w:ascii="Arial" w:cs="Arial" w:eastAsia="Arial" w:hAnsi="Arial"/>
          <w:b/>
          <w:bCs/>
          <w:color w:val="E67E22"/>
          <w:sz w:val="22"/>
          <w:szCs w:val="22"/>
        </w:rPr>
        <w:t xml:space="preserve">[MEDIUM] </w:t>
      </w:r>
      <w:r>
        <w:rPr>
          <w:rFonts w:ascii="Arial" w:cs="Arial" w:eastAsia="Arial" w:hAnsi="Arial"/>
          <w:b/>
          <w:bCs/>
          <w:sz w:val="22"/>
          <w:szCs w:val="22"/>
        </w:rPr>
        <w:t xml:space="preserve">Module 2 overview pages (both courses) are missing the required Syllabus Notice. </w:t>
      </w:r>
      <w:r>
        <w:rPr>
          <w:rFonts w:ascii="Arial" w:cs="Arial" w:eastAsia="Arial" w:hAnsi="Arial"/>
          <w:sz w:val="22"/>
          <w:szCs w:val="22"/>
        </w:rPr>
        <w:t xml:space="preserve">MODULE-STANDARDS.md requires every overview page to include the indigo-background syllabus notice box. Module 3 overviews have it; Module 2 overviews do not.</w:t>
      </w:r>
    </w:p>
    <w:p>
      <w:pPr>
        <w:pStyle w:val="ListParagraph"/>
        <w:numPr>
          <w:ilvl w:val="0"/>
          <w:numId w:val="2"/>
        </w:numPr>
        <w:spacing w:after="80" w:before="40" w:line="276"/>
      </w:pPr>
      <w:r>
        <w:rPr>
          <w:rFonts w:ascii="Arial" w:cs="Arial" w:eastAsia="Arial" w:hAnsi="Arial"/>
          <w:b/>
          <w:bCs/>
          <w:color w:val="E67E22"/>
          <w:sz w:val="22"/>
          <w:szCs w:val="22"/>
        </w:rPr>
        <w:t xml:space="preserve">[MEDIUM] </w:t>
      </w:r>
      <w:r>
        <w:rPr>
          <w:rFonts w:ascii="Arial" w:cs="Arial" w:eastAsia="Arial" w:hAnsi="Arial"/>
          <w:b/>
          <w:bCs/>
          <w:sz w:val="22"/>
          <w:szCs w:val="22"/>
        </w:rPr>
        <w:t xml:space="preserve">Module 2 NLP readings bridge box gives wrong model names for Module 3. </w:t>
      </w:r>
      <w:r>
        <w:rPr>
          <w:rFonts w:ascii="Arial" w:cs="Arial" w:eastAsia="Arial" w:hAnsi="Arial"/>
          <w:sz w:val="22"/>
          <w:szCs w:val="22"/>
        </w:rPr>
        <w:t xml:space="preserve">It says "Gemini embeddings for text, ResNet features for images." Module 3 actually uses </w:t>
      </w:r>
      <w:r>
        <w:rPr>
          <w:rFonts w:ascii="Courier New" w:cs="Courier New" w:eastAsia="Courier New" w:hAnsi="Courier New"/>
          <w:color w:val="C7254E"/>
          <w:sz w:val="20"/>
          <w:szCs w:val="20"/>
        </w:rPr>
        <w:t xml:space="preserve">all-MiniLM-L6-v2</w:t>
      </w:r>
      <w:r>
        <w:rPr>
          <w:rFonts w:ascii="Arial" w:cs="Arial" w:eastAsia="Arial" w:hAnsi="Arial"/>
          <w:sz w:val="22"/>
          <w:szCs w:val="22"/>
        </w:rPr>
        <w:t xml:space="preserve"> for NLP and </w:t>
      </w:r>
      <w:r>
        <w:rPr>
          <w:rFonts w:ascii="Courier New" w:cs="Courier New" w:eastAsia="Courier New" w:hAnsi="Courier New"/>
          <w:color w:val="C7254E"/>
          <w:sz w:val="20"/>
          <w:szCs w:val="20"/>
        </w:rPr>
        <w:t xml:space="preserve">MobileNetV2</w:t>
      </w:r>
      <w:r>
        <w:rPr>
          <w:rFonts w:ascii="Arial" w:cs="Arial" w:eastAsia="Arial" w:hAnsi="Arial"/>
          <w:sz w:val="22"/>
          <w:szCs w:val="22"/>
        </w:rPr>
        <w:t xml:space="preserve"> for CV. This sets incorrect student expectations heading into the following week.</w:t>
      </w:r>
    </w:p>
    <w:p>
      <w:pPr>
        <w:pStyle w:val="ListParagraph"/>
        <w:numPr>
          <w:ilvl w:val="0"/>
          <w:numId w:val="2"/>
        </w:numPr>
        <w:spacing w:after="80" w:before="40" w:line="276"/>
      </w:pPr>
      <w:r>
        <w:rPr>
          <w:rFonts w:ascii="Arial" w:cs="Arial" w:eastAsia="Arial" w:hAnsi="Arial"/>
          <w:b/>
          <w:bCs/>
          <w:color w:val="7F8C8D"/>
          <w:sz w:val="22"/>
          <w:szCs w:val="22"/>
        </w:rPr>
        <w:t xml:space="preserve">[LOW] </w:t>
      </w:r>
      <w:r>
        <w:rPr>
          <w:rFonts w:ascii="Arial" w:cs="Arial" w:eastAsia="Arial" w:hAnsi="Arial"/>
          <w:b/>
          <w:bCs/>
          <w:sz w:val="22"/>
          <w:szCs w:val="22"/>
        </w:rPr>
        <w:t xml:space="preserve">Combined presentation time vs. rubric window. </w:t>
      </w:r>
      <w:r>
        <w:rPr>
          <w:rFonts w:ascii="Arial" w:cs="Arial" w:eastAsia="Arial" w:hAnsi="Arial"/>
          <w:sz w:val="22"/>
          <w:szCs w:val="22"/>
        </w:rPr>
        <w:t xml:space="preserve">Combined presentations are described as 5–7 minutes, but the Presentation rubric Time Management criterion scores the window at 2:30–5:30. A dual-enrolled student delivering a 6-minute combined presentation could lose points on a rubric not designed for their deliverable.</w:t>
      </w:r>
    </w:p>
    <w:p>
      <w:pPr>
        <w:pStyle w:val="ListParagraph"/>
        <w:numPr>
          <w:ilvl w:val="0"/>
          <w:numId w:val="2"/>
        </w:numPr>
        <w:spacing w:after="80" w:before="40" w:line="276"/>
      </w:pPr>
      <w:r>
        <w:rPr>
          <w:rFonts w:ascii="Arial" w:cs="Arial" w:eastAsia="Arial" w:hAnsi="Arial"/>
          <w:b/>
          <w:bCs/>
          <w:color w:val="7F8C8D"/>
          <w:sz w:val="22"/>
          <w:szCs w:val="22"/>
        </w:rPr>
        <w:t xml:space="preserve">[LOW] </w:t>
      </w:r>
      <w:r>
        <w:rPr>
          <w:rFonts w:ascii="Arial" w:cs="Arial" w:eastAsia="Arial" w:hAnsi="Arial"/>
          <w:b/>
          <w:bCs/>
          <w:sz w:val="22"/>
          <w:szCs w:val="22"/>
        </w:rPr>
        <w:t xml:space="preserve">WRITING-STANDARDS em dash ban violated extensively. </w:t>
      </w:r>
      <w:r>
        <w:rPr>
          <w:rFonts w:ascii="Arial" w:cs="Arial" w:eastAsia="Arial" w:hAnsi="Arial"/>
          <w:sz w:val="22"/>
          <w:szCs w:val="22"/>
        </w:rPr>
        <w:t xml:space="preserve">The </w:t>
      </w:r>
      <w:r>
        <w:rPr>
          <w:rFonts w:ascii="Courier New" w:cs="Courier New" w:eastAsia="Courier New" w:hAnsi="Courier New"/>
          <w:color w:val="C7254E"/>
          <w:sz w:val="20"/>
          <w:szCs w:val="20"/>
        </w:rPr>
        <w:t xml:space="preserve">&amp;mdash;</w:t>
      </w:r>
      <w:r>
        <w:rPr>
          <w:rFonts w:ascii="Arial" w:cs="Arial" w:eastAsia="Arial" w:hAnsi="Arial"/>
          <w:sz w:val="22"/>
          <w:szCs w:val="22"/>
        </w:rPr>
        <w:t xml:space="preserve"> entity appears across Module 2 and Module 3 in ethics pages, readings pages, and combined challenge labs. The WRITING-STANDARDS document bans em dashes in all contexts.</w:t>
      </w:r>
    </w:p>
    <w:p>
      <w:pPr>
        <w:pStyle w:val="ListParagraph"/>
        <w:numPr>
          <w:ilvl w:val="0"/>
          <w:numId w:val="2"/>
        </w:numPr>
        <w:spacing w:after="80" w:before="40" w:line="276"/>
      </w:pPr>
      <w:r>
        <w:rPr>
          <w:rFonts w:ascii="Arial" w:cs="Arial" w:eastAsia="Arial" w:hAnsi="Arial"/>
          <w:b/>
          <w:bCs/>
          <w:color w:val="7F8C8D"/>
          <w:sz w:val="22"/>
          <w:szCs w:val="22"/>
        </w:rPr>
        <w:t xml:space="preserve">[LOW] </w:t>
      </w:r>
      <w:r>
        <w:rPr>
          <w:rFonts w:ascii="Arial" w:cs="Arial" w:eastAsia="Arial" w:hAnsi="Arial"/>
          <w:b/>
          <w:bCs/>
          <w:sz w:val="22"/>
          <w:szCs w:val="22"/>
        </w:rPr>
        <w:t xml:space="preserve">Typo in NLP Module 2 readings. </w:t>
      </w:r>
      <w:r>
        <w:rPr>
          <w:rFonts w:ascii="Arial" w:cs="Arial" w:eastAsia="Arial" w:hAnsi="Arial"/>
          <w:sz w:val="22"/>
          <w:szCs w:val="22"/>
        </w:rPr>
        <w:t xml:space="preserve">The TF-IDF video description reads "Term Frequence" instead of "Term Frequency," twice in the same sentence.</w:t>
      </w:r>
    </w:p>
    <w:p>
      <w:r>
        <w:br w:type="page"/>
      </w:r>
    </w:p>
    <w:p>
      <w:pPr>
        <w:pStyle w:val="Heading1"/>
        <w:spacing w:after="200" w:before="360"/>
      </w:pPr>
      <w:r>
        <w:rPr>
          <w:rFonts w:ascii="Arial" w:cs="Arial" w:eastAsia="Arial" w:hAnsi="Arial"/>
          <w:b/>
          <w:bCs/>
          <w:color w:val="1A3A5C"/>
          <w:sz w:val="32"/>
          <w:szCs w:val="32"/>
        </w:rPr>
        <w:t xml:space="preserve">2. Specific Corrections</w:t>
      </w:r>
    </w:p>
    <w:p>
      <w:pPr>
        <w:pStyle w:val="Heading2"/>
        <w:spacing w:after="160" w:before="280"/>
      </w:pPr>
      <w:r>
        <w:rPr>
          <w:rFonts w:ascii="Arial" w:cs="Arial" w:eastAsia="Arial" w:hAnsi="Arial"/>
          <w:b/>
          <w:bCs/>
          <w:color w:val="2E5090"/>
          <w:sz w:val="26"/>
          <w:szCs w:val="26"/>
        </w:rPr>
        <w:t xml:space="preserve">2.1 Module 3 NLP: Demo vs. Presentation Contradiction</w:t>
      </w:r>
    </w:p>
    <w:p>
      <w:pPr>
        <w:spacing w:after="120" w:before="60" w:line="276"/>
      </w:pPr>
      <w:r>
        <w:rPr>
          <w:rFonts w:ascii="Arial" w:cs="Arial" w:eastAsia="Arial" w:hAnsi="Arial"/>
          <w:b/>
          <w:bCs/>
          <w:color w:val="C0392B"/>
          <w:sz w:val="22"/>
          <w:szCs w:val="22"/>
        </w:rPr>
        <w:t xml:space="preserve">[HIGH] </w:t>
      </w:r>
      <w:r>
        <w:rPr>
          <w:rFonts w:ascii="Arial" w:cs="Arial" w:eastAsia="Arial" w:hAnsi="Arial"/>
          <w:sz w:val="22"/>
          <w:szCs w:val="22"/>
        </w:rPr>
        <w:t xml:space="preserve">Affects: </w:t>
      </w:r>
      <w:r>
        <w:rPr>
          <w:rFonts w:ascii="Courier New" w:cs="Courier New" w:eastAsia="Courier New" w:hAnsi="Courier New"/>
          <w:color w:val="C7254E"/>
          <w:sz w:val="20"/>
          <w:szCs w:val="20"/>
        </w:rPr>
        <w:t xml:space="preserve">aiml2003/module3/01-overview.html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03-assignments.html</w:t>
      </w:r>
      <w:r>
        <w:rPr>
          <w:rFonts w:ascii="Arial" w:cs="Arial" w:eastAsia="Arial" w:hAnsi="Arial"/>
          <w:sz w:val="22"/>
          <w:szCs w:val="22"/>
        </w:rPr>
        <w:t xml:space="preserve">, </w:t>
      </w:r>
      <w:r>
        <w:rPr>
          <w:rFonts w:ascii="Courier New" w:cs="Courier New" w:eastAsia="Courier New" w:hAnsi="Courier New"/>
          <w:color w:val="C7254E"/>
          <w:sz w:val="20"/>
          <w:szCs w:val="20"/>
        </w:rPr>
        <w:t xml:space="preserve">lab3-nlp-embeddings.html</w:t>
      </w:r>
    </w:p>
    <w:p>
      <w:pPr>
        <w:spacing w:after="120" w:before="60" w:line="276"/>
      </w:pPr>
      <w:r>
        <w:rPr>
          <w:rFonts w:ascii="Arial" w:cs="Arial" w:eastAsia="Arial" w:hAnsi="Arial"/>
          <w:sz w:val="22"/>
          <w:szCs w:val="22"/>
        </w:rPr>
        <w:t xml:space="preserve">The CLAUDE.md week-by-week deliverable table says Week 4 NLP is a Demo. Three files disagree:</w:t>
      </w:r>
    </w:p>
    <w:p>
      <w:pPr>
        <w:pStyle w:val="ListParagraph"/>
        <w:numPr>
          <w:ilvl w:val="0"/>
          <w:numId w:val="2"/>
        </w:numPr>
        <w:spacing w:after="80" w:before="40" w:line="276"/>
      </w:pPr>
      <w:r>
        <w:rPr>
          <w:rFonts w:ascii="Arial" w:cs="Arial" w:eastAsia="Arial" w:hAnsi="Arial"/>
          <w:b/>
          <w:bCs/>
          <w:sz w:val="22"/>
          <w:szCs w:val="22"/>
        </w:rPr>
        <w:t xml:space="preserve">01-overview.html </w:t>
      </w:r>
      <w:r>
        <w:rPr>
          <w:rFonts w:ascii="Arial" w:cs="Arial" w:eastAsia="Arial" w:hAnsi="Arial"/>
          <w:sz w:val="22"/>
          <w:szCs w:val="22"/>
        </w:rPr>
        <w:t xml:space="preserve">(line 32): Deliverables card says "GitHub Repo + Presentation (3–5 min)."</w:t>
      </w:r>
    </w:p>
    <w:p>
      <w:pPr>
        <w:pStyle w:val="ListParagraph"/>
        <w:numPr>
          <w:ilvl w:val="0"/>
          <w:numId w:val="2"/>
        </w:numPr>
        <w:spacing w:after="80" w:before="40" w:line="276"/>
      </w:pPr>
      <w:r>
        <w:rPr>
          <w:rFonts w:ascii="Arial" w:cs="Arial" w:eastAsia="Arial" w:hAnsi="Arial"/>
          <w:b/>
          <w:bCs/>
          <w:sz w:val="22"/>
          <w:szCs w:val="22"/>
        </w:rPr>
        <w:t xml:space="preserve">03-assignments.html </w:t>
      </w:r>
      <w:r>
        <w:rPr>
          <w:rFonts w:ascii="Arial" w:cs="Arial" w:eastAsia="Arial" w:hAnsi="Arial"/>
          <w:sz w:val="22"/>
          <w:szCs w:val="22"/>
        </w:rPr>
        <w:t xml:space="preserve">(line 115): Section header says "Module 3 Presentation" and links to the Presentation rubric (</w:t>
      </w:r>
      <w:r>
        <w:rPr>
          <w:rFonts w:ascii="Courier New" w:cs="Courier New" w:eastAsia="Courier New" w:hAnsi="Courier New"/>
          <w:color w:val="C7254E"/>
          <w:sz w:val="20"/>
          <w:szCs w:val="20"/>
        </w:rPr>
        <w:t xml:space="preserve">rubrics/65800</w:t>
      </w:r>
      <w:r>
        <w:rPr>
          <w:rFonts w:ascii="Arial" w:cs="Arial" w:eastAsia="Arial" w:hAnsi="Arial"/>
          <w:sz w:val="22"/>
          <w:szCs w:val="22"/>
        </w:rPr>
        <w:t xml:space="preserve">).</w:t>
      </w:r>
    </w:p>
    <w:p>
      <w:pPr>
        <w:pStyle w:val="ListParagraph"/>
        <w:numPr>
          <w:ilvl w:val="0"/>
          <w:numId w:val="2"/>
        </w:numPr>
        <w:spacing w:after="80" w:before="40" w:line="276"/>
      </w:pPr>
      <w:r>
        <w:rPr>
          <w:rFonts w:ascii="Arial" w:cs="Arial" w:eastAsia="Arial" w:hAnsi="Arial"/>
          <w:b/>
          <w:bCs/>
          <w:sz w:val="22"/>
          <w:szCs w:val="22"/>
        </w:rPr>
        <w:t xml:space="preserve">lab3-nlp-embeddings.html </w:t>
      </w:r>
      <w:r>
        <w:rPr>
          <w:rFonts w:ascii="Arial" w:cs="Arial" w:eastAsia="Arial" w:hAnsi="Arial"/>
          <w:sz w:val="22"/>
          <w:szCs w:val="22"/>
        </w:rPr>
        <w:t xml:space="preserve">(line 267): Section header says "Demo Prep," the instructions describe a "live demonstration," and item 2 references "Live Modification (25 points)" which is a Demo rubric criterion.</w:t>
      </w:r>
    </w:p>
    <w:p>
      <w:pPr>
        <w:spacing w:after="120" w:before="60" w:line="276"/>
      </w:pPr>
      <w:r>
        <w:rPr>
          <w:rFonts w:ascii="Arial" w:cs="Arial" w:eastAsia="Arial" w:hAnsi="Arial"/>
          <w:sz w:val="22"/>
          <w:szCs w:val="22"/>
        </w:rPr>
        <w:t xml:space="preserve">The lab page is correct; the overview and assignment page are wrong. The Presentation rubric has no "Live Modification" criterion; the Demo rubric does (worth 25 points). Applying the Presentation rubric to a demo-format deliverable means students would be scored on "Visual Aid Effectiveness" (20 pts) instead of "Live Modification" (25 pts), which changes both the grading and the preparation.</w:t>
      </w:r>
    </w:p>
    <w:p>
      <w:pPr>
        <w:pStyle w:val="Heading3"/>
        <w:spacing w:after="120" w:before="200"/>
      </w:pPr>
      <w:r>
        <w:rPr>
          <w:rFonts w:ascii="Arial" w:cs="Arial" w:eastAsia="Arial" w:hAnsi="Arial"/>
          <w:b/>
          <w:bCs/>
          <w:color w:val="444444"/>
          <w:sz w:val="22"/>
          <w:szCs w:val="22"/>
        </w:rPr>
        <w:t xml:space="preserve">Required Fix</w:t>
      </w:r>
    </w:p>
    <w:p>
      <w:pPr>
        <w:pStyle w:val="ListParagraph"/>
        <w:numPr>
          <w:ilvl w:val="0"/>
          <w:numId w:val="3"/>
        </w:numPr>
        <w:spacing w:after="80" w:before="40" w:line="276"/>
      </w:pPr>
      <w:r>
        <w:rPr>
          <w:rFonts w:ascii="Arial" w:cs="Arial" w:eastAsia="Arial" w:hAnsi="Arial"/>
          <w:sz w:val="22"/>
          <w:szCs w:val="22"/>
        </w:rPr>
        <w:t xml:space="preserve">In </w:t>
      </w:r>
      <w:r>
        <w:rPr>
          <w:rFonts w:ascii="Courier New" w:cs="Courier New" w:eastAsia="Courier New" w:hAnsi="Courier New"/>
          <w:color w:val="C7254E"/>
          <w:sz w:val="20"/>
          <w:szCs w:val="20"/>
        </w:rPr>
        <w:t xml:space="preserve">01-overview.html</w:t>
      </w:r>
      <w:r>
        <w:rPr>
          <w:rFonts w:ascii="Arial" w:cs="Arial" w:eastAsia="Arial" w:hAnsi="Arial"/>
          <w:sz w:val="22"/>
          <w:szCs w:val="22"/>
        </w:rPr>
        <w:t xml:space="preserve">: change the deliverables card from "Presentation" to "Demo."</w:t>
      </w:r>
    </w:p>
    <w:p>
      <w:pPr>
        <w:pStyle w:val="ListParagraph"/>
        <w:numPr>
          <w:ilvl w:val="0"/>
          <w:numId w:val="3"/>
        </w:numPr>
        <w:spacing w:after="80" w:before="40" w:line="276"/>
      </w:pPr>
      <w:r>
        <w:rPr>
          <w:rFonts w:ascii="Arial" w:cs="Arial" w:eastAsia="Arial" w:hAnsi="Arial"/>
          <w:sz w:val="22"/>
          <w:szCs w:val="22"/>
        </w:rPr>
        <w:t xml:space="preserve">In </w:t>
      </w:r>
      <w:r>
        <w:rPr>
          <w:rFonts w:ascii="Courier New" w:cs="Courier New" w:eastAsia="Courier New" w:hAnsi="Courier New"/>
          <w:color w:val="C7254E"/>
          <w:sz w:val="20"/>
          <w:szCs w:val="20"/>
        </w:rPr>
        <w:t xml:space="preserve">03-assignments.html</w:t>
      </w:r>
      <w:r>
        <w:rPr>
          <w:rFonts w:ascii="Arial" w:cs="Arial" w:eastAsia="Arial" w:hAnsi="Arial"/>
          <w:sz w:val="22"/>
          <w:szCs w:val="22"/>
        </w:rPr>
        <w:t xml:space="preserve">: rename "Module 3 Presentation" to "Module 3 Demo," swap the Presentation rubric link (</w:t>
      </w:r>
      <w:r>
        <w:rPr>
          <w:rFonts w:ascii="Courier New" w:cs="Courier New" w:eastAsia="Courier New" w:hAnsi="Courier New"/>
          <w:color w:val="C7254E"/>
          <w:sz w:val="20"/>
          <w:szCs w:val="20"/>
        </w:rPr>
        <w:t xml:space="preserve">rubrics/65800</w:t>
      </w:r>
      <w:r>
        <w:rPr>
          <w:rFonts w:ascii="Arial" w:cs="Arial" w:eastAsia="Arial" w:hAnsi="Arial"/>
          <w:sz w:val="22"/>
          <w:szCs w:val="22"/>
        </w:rPr>
        <w:t xml:space="preserve">) for the Demo rubric link (</w:t>
      </w:r>
      <w:r>
        <w:rPr>
          <w:rFonts w:ascii="Courier New" w:cs="Courier New" w:eastAsia="Courier New" w:hAnsi="Courier New"/>
          <w:color w:val="C7254E"/>
          <w:sz w:val="20"/>
          <w:szCs w:val="20"/>
        </w:rPr>
        <w:t xml:space="preserve">rubrics/65794</w:t>
      </w:r>
      <w:r>
        <w:rPr>
          <w:rFonts w:ascii="Arial" w:cs="Arial" w:eastAsia="Arial" w:hAnsi="Arial"/>
          <w:sz w:val="22"/>
          <w:szCs w:val="22"/>
        </w:rPr>
        <w:t xml:space="preserve">), and replace the Presentation rubric summary table with the Demo rubric summary table.</w:t>
      </w:r>
    </w:p>
    <w:p>
      <w:pPr>
        <w:pStyle w:val="ListParagraph"/>
        <w:numPr>
          <w:ilvl w:val="0"/>
          <w:numId w:val="3"/>
        </w:numPr>
        <w:spacing w:after="80" w:before="40" w:line="276"/>
      </w:pPr>
      <w:r>
        <w:rPr>
          <w:rFonts w:ascii="Arial" w:cs="Arial" w:eastAsia="Arial" w:hAnsi="Arial"/>
          <w:sz w:val="22"/>
          <w:szCs w:val="22"/>
        </w:rPr>
        <w:t xml:space="preserve">In the "What to Cover" list on </w:t>
      </w:r>
      <w:r>
        <w:rPr>
          <w:rFonts w:ascii="Courier New" w:cs="Courier New" w:eastAsia="Courier New" w:hAnsi="Courier New"/>
          <w:color w:val="C7254E"/>
          <w:sz w:val="20"/>
          <w:szCs w:val="20"/>
        </w:rPr>
        <w:t xml:space="preserve">03-assignments.html</w:t>
      </w:r>
      <w:r>
        <w:rPr>
          <w:rFonts w:ascii="Arial" w:cs="Arial" w:eastAsia="Arial" w:hAnsi="Arial"/>
          <w:sz w:val="22"/>
          <w:szCs w:val="22"/>
        </w:rPr>
        <w:t xml:space="preserve">: rewrite the four items to match demo expectations (live query, live parameter modification).</w:t>
      </w:r>
    </w:p>
    <w:p>
      <w:pPr>
        <w:pStyle w:val="ListParagraph"/>
        <w:numPr>
          <w:ilvl w:val="0"/>
          <w:numId w:val="3"/>
        </w:numPr>
        <w:spacing w:after="80" w:before="40" w:line="276"/>
      </w:pPr>
      <w:r>
        <w:rPr>
          <w:rFonts w:ascii="Arial" w:cs="Arial" w:eastAsia="Arial" w:hAnsi="Arial"/>
          <w:sz w:val="22"/>
          <w:szCs w:val="22"/>
        </w:rPr>
        <w:t xml:space="preserve">Verify the CV Module 3 deliverable type: the table says Week 4 CV is a Presentation, and the CV module pages consistently say Presentation. CV is correct.</w:t>
      </w:r>
    </w:p>
    <w:p>
      <w:pPr>
        <w:pStyle w:val="Heading2"/>
        <w:spacing w:after="160" w:before="280"/>
      </w:pPr>
      <w:r>
        <w:rPr>
          <w:rFonts w:ascii="Arial" w:cs="Arial" w:eastAsia="Arial" w:hAnsi="Arial"/>
          <w:b/>
          <w:bCs/>
          <w:color w:val="2E5090"/>
          <w:sz w:val="26"/>
          <w:szCs w:val="26"/>
        </w:rPr>
        <w:t xml:space="preserve">2.2 Module 3 NLP Lab: Missing Dataset</w:t>
      </w:r>
    </w:p>
    <w:p>
      <w:pPr>
        <w:spacing w:after="120" w:before="60" w:line="276"/>
      </w:pPr>
      <w:r>
        <w:rPr>
          <w:rFonts w:ascii="Arial" w:cs="Arial" w:eastAsia="Arial" w:hAnsi="Arial"/>
          <w:b/>
          <w:bCs/>
          <w:color w:val="C0392B"/>
          <w:sz w:val="22"/>
          <w:szCs w:val="22"/>
        </w:rPr>
        <w:t xml:space="preserve">[HIGH] </w:t>
      </w:r>
      <w:r>
        <w:rPr>
          <w:rFonts w:ascii="Arial" w:cs="Arial" w:eastAsia="Arial" w:hAnsi="Arial"/>
          <w:sz w:val="22"/>
          <w:szCs w:val="22"/>
        </w:rPr>
        <w:t xml:space="preserve">Affects: </w:t>
      </w:r>
      <w:r>
        <w:rPr>
          <w:rFonts w:ascii="Courier New" w:cs="Courier New" w:eastAsia="Courier New" w:hAnsi="Courier New"/>
          <w:color w:val="C7254E"/>
          <w:sz w:val="20"/>
          <w:szCs w:val="20"/>
        </w:rPr>
        <w:t xml:space="preserve">aiml2003/module3/lab3-nlp-embeddings.html</w:t>
      </w:r>
      <w:r>
        <w:rPr>
          <w:rFonts w:ascii="Arial" w:cs="Arial" w:eastAsia="Arial" w:hAnsi="Arial"/>
          <w:sz w:val="22"/>
          <w:szCs w:val="22"/>
        </w:rPr>
        <w:t xml:space="preserve"> (Cell 2 specification)</w:t>
      </w:r>
    </w:p>
    <w:p>
      <w:pPr>
        <w:spacing w:after="120" w:before="60" w:line="276"/>
      </w:pPr>
      <w:r>
        <w:rPr>
          <w:rFonts w:ascii="Arial" w:cs="Arial" w:eastAsia="Arial" w:hAnsi="Arial"/>
          <w:sz w:val="22"/>
          <w:szCs w:val="22"/>
        </w:rPr>
        <w:t xml:space="preserve">The lab specification says:</w:t>
      </w:r>
    </w:p>
    <w:p>
      <w:pPr>
        <w:pBdr>
          <w:left w:val="single" w:color="999999" w:sz="3" w:space="8"/>
        </w:pBdr>
        <w:spacing w:after="80" w:before="80"/>
        <w:ind w:left="720" w:right="720"/>
      </w:pPr>
      <w:r>
        <w:rPr>
          <w:rFonts w:ascii="Courier New" w:cs="Courier New" w:eastAsia="Courier New" w:hAnsi="Courier New"/>
          <w:i/>
          <w:iCs/>
          <w:color w:val="555555"/>
          <w:sz w:val="18"/>
          <w:szCs w:val="18"/>
        </w:rPr>
        <w:t xml:space="preserve">65 short texts across four categories: technology (15), sports (15), cooking (15), and travel (15), plus 5 cross-category edge cases. The dataset is provided as a JSON file (lab3-dataset.json) on the lab resources page.</w:t>
      </w:r>
    </w:p>
    <w:p>
      <w:pPr>
        <w:spacing w:after="120" w:before="60" w:line="276"/>
      </w:pPr>
      <w:r>
        <w:rPr>
          <w:rFonts w:ascii="Arial" w:cs="Arial" w:eastAsia="Arial" w:hAnsi="Arial"/>
          <w:sz w:val="22"/>
          <w:szCs w:val="22"/>
        </w:rPr>
        <w:t xml:space="preserve">No file named </w:t>
      </w:r>
      <w:r>
        <w:rPr>
          <w:rFonts w:ascii="Courier New" w:cs="Courier New" w:eastAsia="Courier New" w:hAnsi="Courier New"/>
          <w:color w:val="C7254E"/>
          <w:sz w:val="20"/>
          <w:szCs w:val="20"/>
        </w:rPr>
        <w:t xml:space="preserve">lab3-dataset.json</w:t>
      </w:r>
      <w:r>
        <w:rPr>
          <w:rFonts w:ascii="Arial" w:cs="Arial" w:eastAsia="Arial" w:hAnsi="Arial"/>
          <w:sz w:val="22"/>
          <w:szCs w:val="22"/>
        </w:rPr>
        <w:t xml:space="preserve"> exists anywhere in the repository. The spec also says "You may also manually define the data as Python lists if you prefer," but defining 65 purpose-built texts with specific cross-category overlap properties is a significant design task, not a casual alternative. Students who choose the manual route will spend substantial time writing content rather than learning embeddings.</w:t>
      </w:r>
    </w:p>
    <w:p>
      <w:pPr>
        <w:pStyle w:val="Heading3"/>
        <w:spacing w:after="120" w:before="200"/>
      </w:pPr>
      <w:r>
        <w:rPr>
          <w:rFonts w:ascii="Arial" w:cs="Arial" w:eastAsia="Arial" w:hAnsi="Arial"/>
          <w:b/>
          <w:bCs/>
          <w:color w:val="444444"/>
          <w:sz w:val="22"/>
          <w:szCs w:val="22"/>
        </w:rPr>
        <w:t xml:space="preserve">Required Fix</w:t>
      </w:r>
    </w:p>
    <w:p>
      <w:pPr>
        <w:pStyle w:val="ListParagraph"/>
        <w:numPr>
          <w:ilvl w:val="0"/>
          <w:numId w:val="3"/>
        </w:numPr>
        <w:spacing w:after="80" w:before="40" w:line="276"/>
      </w:pPr>
      <w:r>
        <w:rPr>
          <w:rFonts w:ascii="Arial" w:cs="Arial" w:eastAsia="Arial" w:hAnsi="Arial"/>
          <w:sz w:val="22"/>
          <w:szCs w:val="22"/>
        </w:rPr>
        <w:t xml:space="preserve">Create </w:t>
      </w:r>
      <w:r>
        <w:rPr>
          <w:rFonts w:ascii="Courier New" w:cs="Courier New" w:eastAsia="Courier New" w:hAnsi="Courier New"/>
          <w:color w:val="C7254E"/>
          <w:sz w:val="20"/>
          <w:szCs w:val="20"/>
        </w:rPr>
        <w:t xml:space="preserve">lab3-dataset.json</w:t>
      </w:r>
      <w:r>
        <w:rPr>
          <w:rFonts w:ascii="Arial" w:cs="Arial" w:eastAsia="Arial" w:hAnsi="Arial"/>
          <w:sz w:val="22"/>
          <w:szCs w:val="22"/>
        </w:rPr>
        <w:t xml:space="preserve"> with the 60 core texts (15 per category) and 5 edge cases. The categories should produce the interesting TF-IDF/embedding disagreements the lab promises: cooking and technology sharing process vocabulary, sports and cooking sharing body-related terms.</w:t>
      </w:r>
    </w:p>
    <w:p>
      <w:pPr>
        <w:pStyle w:val="ListParagraph"/>
        <w:numPr>
          <w:ilvl w:val="0"/>
          <w:numId w:val="3"/>
        </w:numPr>
        <w:spacing w:after="80" w:before="40" w:line="276"/>
      </w:pPr>
      <w:r>
        <w:rPr>
          <w:rFonts w:ascii="Arial" w:cs="Arial" w:eastAsia="Arial" w:hAnsi="Arial"/>
          <w:sz w:val="22"/>
          <w:szCs w:val="22"/>
        </w:rPr>
        <w:t xml:space="preserve">Place the file in </w:t>
      </w:r>
      <w:r>
        <w:rPr>
          <w:rFonts w:ascii="Courier New" w:cs="Courier New" w:eastAsia="Courier New" w:hAnsi="Courier New"/>
          <w:color w:val="C7254E"/>
          <w:sz w:val="20"/>
          <w:szCs w:val="20"/>
        </w:rPr>
        <w:t xml:space="preserve">aiml2003/module3/</w:t>
      </w:r>
      <w:r>
        <w:rPr>
          <w:rFonts w:ascii="Arial" w:cs="Arial" w:eastAsia="Arial" w:hAnsi="Arial"/>
          <w:sz w:val="22"/>
          <w:szCs w:val="22"/>
        </w:rPr>
        <w:t xml:space="preserve"> and add it to the module resources so students can download or upload to Colab.</w:t>
      </w:r>
    </w:p>
    <w:p>
      <w:pPr>
        <w:pStyle w:val="ListParagraph"/>
        <w:numPr>
          <w:ilvl w:val="0"/>
          <w:numId w:val="3"/>
        </w:numPr>
        <w:spacing w:after="80" w:before="40" w:line="276"/>
      </w:pPr>
      <w:r>
        <w:rPr>
          <w:rFonts w:ascii="Arial" w:cs="Arial" w:eastAsia="Arial" w:hAnsi="Arial"/>
          <w:sz w:val="22"/>
          <w:szCs w:val="22"/>
        </w:rPr>
        <w:t xml:space="preserve">Remove the "or define as Python lists" hedge. A curated dataset with designed edge cases is a pedagogical tool, not a student exercise.</w:t>
      </w:r>
    </w:p>
    <w:p>
      <w:pPr>
        <w:pStyle w:val="Heading2"/>
        <w:spacing w:after="160" w:before="280"/>
      </w:pPr>
      <w:r>
        <w:rPr>
          <w:rFonts w:ascii="Arial" w:cs="Arial" w:eastAsia="Arial" w:hAnsi="Arial"/>
          <w:b/>
          <w:bCs/>
          <w:color w:val="2E5090"/>
          <w:sz w:val="26"/>
          <w:szCs w:val="26"/>
        </w:rPr>
        <w:t xml:space="preserve">2.3 Missing Syllabus Notice on Module 2 Overviews</w:t>
      </w:r>
    </w:p>
    <w:p>
      <w:pPr>
        <w:spacing w:after="120" w:before="60" w:line="276"/>
      </w:pPr>
      <w:r>
        <w:rPr>
          <w:rFonts w:ascii="Arial" w:cs="Arial" w:eastAsia="Arial" w:hAnsi="Arial"/>
          <w:b/>
          <w:bCs/>
          <w:color w:val="E67E22"/>
          <w:sz w:val="22"/>
          <w:szCs w:val="22"/>
        </w:rPr>
        <w:t xml:space="preserve">[MEDIUM] </w:t>
      </w:r>
      <w:r>
        <w:rPr>
          <w:rFonts w:ascii="Arial" w:cs="Arial" w:eastAsia="Arial" w:hAnsi="Arial"/>
          <w:sz w:val="22"/>
          <w:szCs w:val="22"/>
        </w:rPr>
        <w:t xml:space="preserve">Affects: </w:t>
      </w:r>
      <w:r>
        <w:rPr>
          <w:rFonts w:ascii="Courier New" w:cs="Courier New" w:eastAsia="Courier New" w:hAnsi="Courier New"/>
          <w:color w:val="C7254E"/>
          <w:sz w:val="20"/>
          <w:szCs w:val="20"/>
        </w:rPr>
        <w:t xml:space="preserve">aiml2003/module2/01-overview.html</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aiml2013/module2/01-overview.html</w:t>
      </w:r>
    </w:p>
    <w:p>
      <w:pPr>
        <w:spacing w:after="120" w:before="60" w:line="276"/>
      </w:pPr>
      <w:r>
        <w:rPr>
          <w:rFonts w:ascii="Arial" w:cs="Arial" w:eastAsia="Arial" w:hAnsi="Arial"/>
          <w:sz w:val="22"/>
          <w:szCs w:val="22"/>
        </w:rPr>
        <w:t xml:space="preserve">MODULE-STANDARDS.md states: "Every overview page must include a prominent notice box (indigo background, #e8eaf6, border #3949ab) near the top." Both Module 3 overviews include this notice. Both Module 2 overviews omit it.</w:t>
      </w:r>
    </w:p>
    <w:p>
      <w:pPr>
        <w:pStyle w:val="Heading3"/>
        <w:spacing w:after="120" w:before="200"/>
      </w:pPr>
      <w:r>
        <w:rPr>
          <w:rFonts w:ascii="Arial" w:cs="Arial" w:eastAsia="Arial" w:hAnsi="Arial"/>
          <w:b/>
          <w:bCs/>
          <w:color w:val="444444"/>
          <w:sz w:val="22"/>
          <w:szCs w:val="22"/>
        </w:rPr>
        <w:t xml:space="preserve">Required Fix</w:t>
      </w:r>
    </w:p>
    <w:p>
      <w:pPr>
        <w:spacing w:after="120" w:before="60" w:line="276"/>
      </w:pPr>
      <w:r>
        <w:rPr>
          <w:rFonts w:ascii="Arial" w:cs="Arial" w:eastAsia="Arial" w:hAnsi="Arial"/>
          <w:sz w:val="22"/>
          <w:szCs w:val="22"/>
        </w:rPr>
        <w:t xml:space="preserve">Add the standard syllabus notice div immediately after the hero section in both files. NLP links to </w:t>
      </w:r>
      <w:r>
        <w:rPr>
          <w:rFonts w:ascii="Courier New" w:cs="Courier New" w:eastAsia="Courier New" w:hAnsi="Courier New"/>
          <w:color w:val="C7254E"/>
          <w:sz w:val="20"/>
          <w:szCs w:val="20"/>
        </w:rPr>
        <w:t xml:space="preserve">/courses/26943/external_tools/13895</w:t>
      </w:r>
      <w:r>
        <w:rPr>
          <w:rFonts w:ascii="Arial" w:cs="Arial" w:eastAsia="Arial" w:hAnsi="Arial"/>
          <w:sz w:val="22"/>
          <w:szCs w:val="22"/>
        </w:rPr>
        <w:t xml:space="preserve">; CV links to </w:t>
      </w:r>
      <w:r>
        <w:rPr>
          <w:rFonts w:ascii="Courier New" w:cs="Courier New" w:eastAsia="Courier New" w:hAnsi="Courier New"/>
          <w:color w:val="C7254E"/>
          <w:sz w:val="20"/>
          <w:szCs w:val="20"/>
        </w:rPr>
        <w:t xml:space="preserve">/courses/26944/external_tools/13895</w:t>
      </w:r>
      <w:r>
        <w:rPr>
          <w:rFonts w:ascii="Arial" w:cs="Arial" w:eastAsia="Arial" w:hAnsi="Arial"/>
          <w:sz w:val="22"/>
          <w:szCs w:val="22"/>
        </w:rPr>
        <w:t xml:space="preserve">.</w:t>
      </w:r>
    </w:p>
    <w:p>
      <w:pPr>
        <w:pStyle w:val="Heading2"/>
        <w:spacing w:after="160" w:before="280"/>
      </w:pPr>
      <w:r>
        <w:rPr>
          <w:rFonts w:ascii="Arial" w:cs="Arial" w:eastAsia="Arial" w:hAnsi="Arial"/>
          <w:b/>
          <w:bCs/>
          <w:color w:val="2E5090"/>
          <w:sz w:val="26"/>
          <w:szCs w:val="26"/>
        </w:rPr>
        <w:t xml:space="preserve">2.4 Incorrect Model Names in Module 2 Bridge Box</w:t>
      </w:r>
    </w:p>
    <w:p>
      <w:pPr>
        <w:spacing w:after="120" w:before="60" w:line="276"/>
      </w:pPr>
      <w:r>
        <w:rPr>
          <w:rFonts w:ascii="Arial" w:cs="Arial" w:eastAsia="Arial" w:hAnsi="Arial"/>
          <w:b/>
          <w:bCs/>
          <w:color w:val="E67E22"/>
          <w:sz w:val="22"/>
          <w:szCs w:val="22"/>
        </w:rPr>
        <w:t xml:space="preserve">[MEDIUM] </w:t>
      </w:r>
      <w:r>
        <w:rPr>
          <w:rFonts w:ascii="Arial" w:cs="Arial" w:eastAsia="Arial" w:hAnsi="Arial"/>
          <w:sz w:val="22"/>
          <w:szCs w:val="22"/>
        </w:rPr>
        <w:t xml:space="preserve">Affects: </w:t>
      </w:r>
      <w:r>
        <w:rPr>
          <w:rFonts w:ascii="Courier New" w:cs="Courier New" w:eastAsia="Courier New" w:hAnsi="Courier New"/>
          <w:color w:val="C7254E"/>
          <w:sz w:val="20"/>
          <w:szCs w:val="20"/>
        </w:rPr>
        <w:t xml:space="preserve">aiml2003/module2/02-readings.html</w:t>
      </w:r>
      <w:r>
        <w:rPr>
          <w:rFonts w:ascii="Arial" w:cs="Arial" w:eastAsia="Arial" w:hAnsi="Arial"/>
          <w:sz w:val="22"/>
          <w:szCs w:val="22"/>
        </w:rPr>
        <w:t xml:space="preserve"> (line 132)</w:t>
      </w:r>
    </w:p>
    <w:p>
      <w:pPr>
        <w:spacing w:after="120" w:before="60" w:line="276"/>
      </w:pPr>
      <w:r>
        <w:rPr>
          <w:rFonts w:ascii="Arial" w:cs="Arial" w:eastAsia="Arial" w:hAnsi="Arial"/>
          <w:sz w:val="22"/>
          <w:szCs w:val="22"/>
        </w:rPr>
        <w:t xml:space="preserve">The bridge box at the bottom of the NLP Module 2 readings page reads:</w:t>
      </w:r>
    </w:p>
    <w:p>
      <w:pPr>
        <w:pBdr>
          <w:left w:val="single" w:color="999999" w:sz="3" w:space="8"/>
        </w:pBdr>
        <w:spacing w:after="80" w:before="80"/>
        <w:ind w:left="720" w:right="720"/>
      </w:pPr>
      <w:r>
        <w:rPr>
          <w:rFonts w:ascii="Courier New" w:cs="Courier New" w:eastAsia="Courier New" w:hAnsi="Courier New"/>
          <w:i/>
          <w:iCs/>
          <w:color w:val="555555"/>
          <w:sz w:val="18"/>
          <w:szCs w:val="18"/>
        </w:rPr>
        <w:t xml:space="preserve">In Week 4, both courses replace these hand-crafted vectors with learned representations: Gemini embeddings for text, ResNet features for images.</w:t>
      </w:r>
    </w:p>
    <w:p>
      <w:pPr>
        <w:spacing w:after="120" w:before="60" w:line="276"/>
      </w:pPr>
      <w:r>
        <w:rPr>
          <w:rFonts w:ascii="Arial" w:cs="Arial" w:eastAsia="Arial" w:hAnsi="Arial"/>
          <w:sz w:val="22"/>
          <w:szCs w:val="22"/>
        </w:rPr>
        <w:t xml:space="preserve">Module 3 NLP uses </w:t>
      </w:r>
      <w:r>
        <w:rPr>
          <w:rFonts w:ascii="Courier New" w:cs="Courier New" w:eastAsia="Courier New" w:hAnsi="Courier New"/>
          <w:color w:val="C7254E"/>
          <w:sz w:val="20"/>
          <w:szCs w:val="20"/>
        </w:rPr>
        <w:t xml:space="preserve">all-MiniLM-L6-v2</w:t>
      </w:r>
      <w:r>
        <w:rPr>
          <w:rFonts w:ascii="Arial" w:cs="Arial" w:eastAsia="Arial" w:hAnsi="Arial"/>
          <w:sz w:val="22"/>
          <w:szCs w:val="22"/>
        </w:rPr>
        <w:t xml:space="preserve"> (a sentence transformer), not Gemini embeddings. Module 3 CV uses </w:t>
      </w:r>
      <w:r>
        <w:rPr>
          <w:rFonts w:ascii="Courier New" w:cs="Courier New" w:eastAsia="Courier New" w:hAnsi="Courier New"/>
          <w:color w:val="C7254E"/>
          <w:sz w:val="20"/>
          <w:szCs w:val="20"/>
        </w:rPr>
        <w:t xml:space="preserve">MobileNetV2</w:t>
      </w:r>
      <w:r>
        <w:rPr>
          <w:rFonts w:ascii="Arial" w:cs="Arial" w:eastAsia="Arial" w:hAnsi="Arial"/>
          <w:sz w:val="22"/>
          <w:szCs w:val="22"/>
        </w:rPr>
        <w:t xml:space="preserve">, not ResNet. A student who reads this bridge box will arrive at Module 3 expecting different tools from the ones they encounter.</w:t>
      </w:r>
    </w:p>
    <w:p>
      <w:pPr>
        <w:pStyle w:val="Heading3"/>
        <w:spacing w:after="120" w:before="200"/>
      </w:pPr>
      <w:r>
        <w:rPr>
          <w:rFonts w:ascii="Arial" w:cs="Arial" w:eastAsia="Arial" w:hAnsi="Arial"/>
          <w:b/>
          <w:bCs/>
          <w:color w:val="444444"/>
          <w:sz w:val="22"/>
          <w:szCs w:val="22"/>
        </w:rPr>
        <w:t xml:space="preserve">Required Fix</w:t>
      </w:r>
    </w:p>
    <w:p>
      <w:pPr>
        <w:spacing w:after="120" w:before="60" w:line="276"/>
      </w:pPr>
      <w:r>
        <w:rPr>
          <w:rFonts w:ascii="Arial" w:cs="Arial" w:eastAsia="Arial" w:hAnsi="Arial"/>
          <w:sz w:val="22"/>
          <w:szCs w:val="22"/>
        </w:rPr>
        <w:t xml:space="preserve">Replace the sentence with: "In Week 4, both courses replace these hand-crafted vectors with learned representations: sentence transformer embeddings for text, MobileNetV2 features for images."</w:t>
      </w:r>
    </w:p>
    <w:p>
      <w:pPr>
        <w:spacing w:after="120" w:before="60" w:line="276"/>
      </w:pPr>
      <w:r>
        <w:rPr>
          <w:rFonts w:ascii="Arial" w:cs="Arial" w:eastAsia="Arial" w:hAnsi="Arial"/>
          <w:sz w:val="22"/>
          <w:szCs w:val="22"/>
        </w:rPr>
        <w:t xml:space="preserve">The CV Module 2 readings bridge box (</w:t>
      </w:r>
      <w:r>
        <w:rPr>
          <w:rFonts w:ascii="Courier New" w:cs="Courier New" w:eastAsia="Courier New" w:hAnsi="Courier New"/>
          <w:color w:val="C7254E"/>
          <w:sz w:val="20"/>
          <w:szCs w:val="20"/>
        </w:rPr>
        <w:t xml:space="preserve">aiml2013/module2/02-readings.html</w:t>
      </w:r>
      <w:r>
        <w:rPr>
          <w:rFonts w:ascii="Arial" w:cs="Arial" w:eastAsia="Arial" w:hAnsi="Arial"/>
          <w:sz w:val="22"/>
          <w:szCs w:val="22"/>
        </w:rPr>
        <w:t xml:space="preserve">, line 151) says "learned embeddings" without naming specific models, which is acceptable. No fix needed on the CV side.</w:t>
      </w:r>
    </w:p>
    <w:p>
      <w:pPr>
        <w:pStyle w:val="Heading2"/>
        <w:spacing w:after="160" w:before="280"/>
      </w:pPr>
      <w:r>
        <w:rPr>
          <w:rFonts w:ascii="Arial" w:cs="Arial" w:eastAsia="Arial" w:hAnsi="Arial"/>
          <w:b/>
          <w:bCs/>
          <w:color w:val="2E5090"/>
          <w:sz w:val="26"/>
          <w:szCs w:val="26"/>
        </w:rPr>
        <w:t xml:space="preserve">2.5 Combined Presentation Time vs. Rubric Window</w:t>
      </w:r>
    </w:p>
    <w:p>
      <w:pPr>
        <w:spacing w:after="120" w:before="60" w:line="276"/>
      </w:pPr>
      <w:r>
        <w:rPr>
          <w:rFonts w:ascii="Arial" w:cs="Arial" w:eastAsia="Arial" w:hAnsi="Arial"/>
          <w:b/>
          <w:bCs/>
          <w:color w:val="7F8C8D"/>
          <w:sz w:val="22"/>
          <w:szCs w:val="22"/>
        </w:rPr>
        <w:t xml:space="preserve">[LOW] </w:t>
      </w:r>
      <w:r>
        <w:rPr>
          <w:rFonts w:ascii="Arial" w:cs="Arial" w:eastAsia="Arial" w:hAnsi="Arial"/>
          <w:sz w:val="22"/>
          <w:szCs w:val="22"/>
        </w:rPr>
        <w:t xml:space="preserve">Affects: All combined assignment references across both courses</w:t>
      </w:r>
    </w:p>
    <w:p>
      <w:pPr>
        <w:spacing w:after="120" w:before="60" w:line="276"/>
      </w:pPr>
      <w:r>
        <w:rPr>
          <w:rFonts w:ascii="Arial" w:cs="Arial" w:eastAsia="Arial" w:hAnsi="Arial"/>
          <w:sz w:val="22"/>
          <w:szCs w:val="22"/>
        </w:rPr>
        <w:t xml:space="preserve">Every combined assignment callout says dual-enrolled students should plan for 5–7 minutes. The Presentation rubric Time Management criterion (10 points) defines the acceptable window as 2:30–5:30. A 6-minute combined presentation falls outside the rubric window.</w:t>
      </w:r>
    </w:p>
    <w:p>
      <w:pPr>
        <w:pStyle w:val="Heading3"/>
        <w:spacing w:after="120" w:before="200"/>
      </w:pPr>
      <w:r>
        <w:rPr>
          <w:rFonts w:ascii="Arial" w:cs="Arial" w:eastAsia="Arial" w:hAnsi="Arial"/>
          <w:b/>
          <w:bCs/>
          <w:color w:val="444444"/>
          <w:sz w:val="22"/>
          <w:szCs w:val="22"/>
        </w:rPr>
        <w:t xml:space="preserve">Options</w:t>
      </w:r>
    </w:p>
    <w:p>
      <w:pPr>
        <w:pStyle w:val="ListParagraph"/>
        <w:numPr>
          <w:ilvl w:val="0"/>
          <w:numId w:val="2"/>
        </w:numPr>
        <w:spacing w:after="80" w:before="40" w:line="276"/>
      </w:pPr>
      <w:r>
        <w:rPr>
          <w:rFonts w:ascii="Arial" w:cs="Arial" w:eastAsia="Arial" w:hAnsi="Arial"/>
          <w:sz w:val="22"/>
          <w:szCs w:val="22"/>
        </w:rPr>
        <w:t xml:space="preserve">Create a separate "Combined Presentation" rubric with an extended window, or</w:t>
      </w:r>
    </w:p>
    <w:p>
      <w:pPr>
        <w:pStyle w:val="ListParagraph"/>
        <w:numPr>
          <w:ilvl w:val="0"/>
          <w:numId w:val="2"/>
        </w:numPr>
        <w:spacing w:after="80" w:before="40" w:line="276"/>
      </w:pPr>
      <w:r>
        <w:rPr>
          <w:rFonts w:ascii="Arial" w:cs="Arial" w:eastAsia="Arial" w:hAnsi="Arial"/>
          <w:sz w:val="22"/>
          <w:szCs w:val="22"/>
        </w:rPr>
        <w:t xml:space="preserve">Change the combined time guidance to "5 minutes" (fits within the existing rubric), or</w:t>
      </w:r>
    </w:p>
    <w:p>
      <w:pPr>
        <w:pStyle w:val="ListParagraph"/>
        <w:numPr>
          <w:ilvl w:val="0"/>
          <w:numId w:val="2"/>
        </w:numPr>
        <w:spacing w:after="80" w:before="40" w:line="276"/>
      </w:pPr>
      <w:r>
        <w:rPr>
          <w:rFonts w:ascii="Arial" w:cs="Arial" w:eastAsia="Arial" w:hAnsi="Arial"/>
          <w:sz w:val="22"/>
          <w:szCs w:val="22"/>
        </w:rPr>
        <w:t xml:space="preserve">Add a note in each combined assignment callout that the Time Management window for combined presentations is extended to a specified range, or</w:t>
      </w:r>
    </w:p>
    <w:p>
      <w:pPr>
        <w:pStyle w:val="ListParagraph"/>
        <w:numPr>
          <w:ilvl w:val="0"/>
          <w:numId w:val="2"/>
        </w:numPr>
        <w:spacing w:after="80" w:before="40" w:line="276"/>
      </w:pPr>
      <w:r>
        <w:rPr>
          <w:rFonts w:ascii="Arial" w:cs="Arial" w:eastAsia="Arial" w:hAnsi="Arial"/>
          <w:sz w:val="22"/>
          <w:szCs w:val="22"/>
        </w:rPr>
        <w:t xml:space="preserve">Score time management by the combined standard and document this in the grading instructions. This requires no rubric change but should be explicit.</w:t>
      </w:r>
    </w:p>
    <w:p>
      <w:pPr>
        <w:pStyle w:val="Heading2"/>
        <w:spacing w:after="160" w:before="280"/>
      </w:pPr>
      <w:r>
        <w:rPr>
          <w:rFonts w:ascii="Arial" w:cs="Arial" w:eastAsia="Arial" w:hAnsi="Arial"/>
          <w:b/>
          <w:bCs/>
          <w:color w:val="2E5090"/>
          <w:sz w:val="26"/>
          <w:szCs w:val="26"/>
        </w:rPr>
        <w:t xml:space="preserve">2.6 Em Dash Violations</w:t>
      </w:r>
    </w:p>
    <w:p>
      <w:pPr>
        <w:spacing w:after="120" w:before="60" w:line="276"/>
      </w:pPr>
      <w:r>
        <w:rPr>
          <w:rFonts w:ascii="Arial" w:cs="Arial" w:eastAsia="Arial" w:hAnsi="Arial"/>
          <w:b/>
          <w:bCs/>
          <w:color w:val="7F8C8D"/>
          <w:sz w:val="22"/>
          <w:szCs w:val="22"/>
        </w:rPr>
        <w:t xml:space="preserve">[LOW] </w:t>
      </w:r>
      <w:r>
        <w:rPr>
          <w:rFonts w:ascii="Arial" w:cs="Arial" w:eastAsia="Arial" w:hAnsi="Arial"/>
          <w:sz w:val="22"/>
          <w:szCs w:val="22"/>
        </w:rPr>
        <w:t xml:space="preserve">Affects: Multiple files across Modules 2–3</w:t>
      </w:r>
    </w:p>
    <w:p>
      <w:pPr>
        <w:spacing w:after="120" w:before="60" w:line="276"/>
      </w:pPr>
      <w:r>
        <w:rPr>
          <w:rFonts w:ascii="Arial" w:cs="Arial" w:eastAsia="Arial" w:hAnsi="Arial"/>
          <w:sz w:val="22"/>
          <w:szCs w:val="22"/>
        </w:rPr>
        <w:t xml:space="preserve">WRITING-STANDARDS.md bans em dashes in all contexts. The </w:t>
      </w:r>
      <w:r>
        <w:rPr>
          <w:rFonts w:ascii="Courier New" w:cs="Courier New" w:eastAsia="Courier New" w:hAnsi="Courier New"/>
          <w:color w:val="C7254E"/>
          <w:sz w:val="20"/>
          <w:szCs w:val="20"/>
        </w:rPr>
        <w:t xml:space="preserve">&amp;mdash;</w:t>
      </w:r>
      <w:r>
        <w:rPr>
          <w:rFonts w:ascii="Arial" w:cs="Arial" w:eastAsia="Arial" w:hAnsi="Arial"/>
          <w:sz w:val="22"/>
          <w:szCs w:val="22"/>
        </w:rPr>
        <w:t xml:space="preserve"> entity appears in the following files:</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aiml2003/module2/07-ethics.html</w:t>
      </w:r>
      <w:r>
        <w:rPr>
          <w:rFonts w:ascii="Arial" w:cs="Arial" w:eastAsia="Arial" w:hAnsi="Arial"/>
          <w:sz w:val="22"/>
          <w:szCs w:val="22"/>
        </w:rPr>
        <w:t xml:space="preserve"> (1 instance)</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aiml2003/module2/lab2-combined-challenge.html</w:t>
      </w:r>
      <w:r>
        <w:rPr>
          <w:rFonts w:ascii="Arial" w:cs="Arial" w:eastAsia="Arial" w:hAnsi="Arial"/>
          <w:sz w:val="22"/>
          <w:szCs w:val="22"/>
        </w:rPr>
        <w:t xml:space="preserve"> (3 instances)</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aiml2013/module2/07-ethics.html</w:t>
      </w:r>
      <w:r>
        <w:rPr>
          <w:rFonts w:ascii="Arial" w:cs="Arial" w:eastAsia="Arial" w:hAnsi="Arial"/>
          <w:sz w:val="22"/>
          <w:szCs w:val="22"/>
        </w:rPr>
        <w:t xml:space="preserve"> (3 instances)</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aiml2013/module2/lab2-combined-challenge.html</w:t>
      </w:r>
      <w:r>
        <w:rPr>
          <w:rFonts w:ascii="Arial" w:cs="Arial" w:eastAsia="Arial" w:hAnsi="Arial"/>
          <w:sz w:val="22"/>
          <w:szCs w:val="22"/>
        </w:rPr>
        <w:t xml:space="preserve"> (3 instances)</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aiml2003/module3/02-readings.html</w:t>
      </w:r>
      <w:r>
        <w:rPr>
          <w:rFonts w:ascii="Arial" w:cs="Arial" w:eastAsia="Arial" w:hAnsi="Arial"/>
          <w:sz w:val="22"/>
          <w:szCs w:val="22"/>
        </w:rPr>
        <w:t xml:space="preserve"> (11+ instances)</w:t>
      </w:r>
    </w:p>
    <w:p>
      <w:pPr>
        <w:pStyle w:val="ListParagraph"/>
        <w:numPr>
          <w:ilvl w:val="0"/>
          <w:numId w:val="2"/>
        </w:numPr>
        <w:spacing w:after="80" w:before="40" w:line="276"/>
      </w:pPr>
      <w:r>
        <w:rPr>
          <w:rFonts w:ascii="Courier New" w:cs="Courier New" w:eastAsia="Courier New" w:hAnsi="Courier New"/>
          <w:color w:val="C7254E"/>
          <w:sz w:val="20"/>
          <w:szCs w:val="20"/>
        </w:rPr>
        <w:t xml:space="preserve">aiml2013/module3/02-readings.html</w:t>
      </w:r>
      <w:r>
        <w:rPr>
          <w:rFonts w:ascii="Arial" w:cs="Arial" w:eastAsia="Arial" w:hAnsi="Arial"/>
          <w:sz w:val="22"/>
          <w:szCs w:val="22"/>
        </w:rPr>
        <w:t xml:space="preserve"> (16+ instances)</w:t>
      </w:r>
    </w:p>
    <w:p>
      <w:pPr>
        <w:spacing w:after="120" w:before="60" w:line="276"/>
      </w:pPr>
      <w:r>
        <w:rPr>
          <w:rFonts w:ascii="Arial" w:cs="Arial" w:eastAsia="Arial" w:hAnsi="Arial"/>
          <w:sz w:val="22"/>
          <w:szCs w:val="22"/>
        </w:rPr>
        <w:t xml:space="preserve">Module 3 readings pages are the worst offenders because the em dash is used as the primary punctuation device for parenthetical asides throughout.</w:t>
      </w:r>
    </w:p>
    <w:p>
      <w:pPr>
        <w:pStyle w:val="Heading3"/>
        <w:spacing w:after="120" w:before="200"/>
      </w:pPr>
      <w:r>
        <w:rPr>
          <w:rFonts w:ascii="Arial" w:cs="Arial" w:eastAsia="Arial" w:hAnsi="Arial"/>
          <w:b/>
          <w:bCs/>
          <w:color w:val="444444"/>
          <w:sz w:val="22"/>
          <w:szCs w:val="22"/>
        </w:rPr>
        <w:t xml:space="preserve">Required Fix</w:t>
      </w:r>
    </w:p>
    <w:p>
      <w:pPr>
        <w:spacing w:after="120" w:before="60" w:line="276"/>
      </w:pPr>
      <w:r>
        <w:rPr>
          <w:rFonts w:ascii="Arial" w:cs="Arial" w:eastAsia="Arial" w:hAnsi="Arial"/>
          <w:sz w:val="22"/>
          <w:szCs w:val="22"/>
        </w:rPr>
        <w:t xml:space="preserve">Replace each em dash per the WRITING-STANDARDS rewrite rules: colon for amplification, parentheses or comma pair for parentheticals, or split into two sentences. A batch find of </w:t>
      </w:r>
      <w:r>
        <w:rPr>
          <w:rFonts w:ascii="Courier New" w:cs="Courier New" w:eastAsia="Courier New" w:hAnsi="Courier New"/>
          <w:color w:val="C7254E"/>
          <w:sz w:val="20"/>
          <w:szCs w:val="20"/>
        </w:rPr>
        <w:t xml:space="preserve">&amp;mdash;</w:t>
      </w:r>
      <w:r>
        <w:rPr>
          <w:rFonts w:ascii="Arial" w:cs="Arial" w:eastAsia="Arial" w:hAnsi="Arial"/>
          <w:sz w:val="22"/>
          <w:szCs w:val="22"/>
        </w:rPr>
        <w:t xml:space="preserve"> followed by manual rewriting of each sentence is the most efficient approach.</w:t>
      </w:r>
    </w:p>
    <w:p>
      <w:pPr>
        <w:pStyle w:val="Heading2"/>
        <w:spacing w:after="160" w:before="280"/>
      </w:pPr>
      <w:r>
        <w:rPr>
          <w:rFonts w:ascii="Arial" w:cs="Arial" w:eastAsia="Arial" w:hAnsi="Arial"/>
          <w:b/>
          <w:bCs/>
          <w:color w:val="2E5090"/>
          <w:sz w:val="26"/>
          <w:szCs w:val="26"/>
        </w:rPr>
        <w:t xml:space="preserve">2.7 Typo: "Frequence" in NLP Module 2 Readings</w:t>
      </w:r>
    </w:p>
    <w:p>
      <w:pPr>
        <w:spacing w:after="120" w:before="60" w:line="276"/>
      </w:pPr>
      <w:r>
        <w:rPr>
          <w:rFonts w:ascii="Arial" w:cs="Arial" w:eastAsia="Arial" w:hAnsi="Arial"/>
          <w:b/>
          <w:bCs/>
          <w:color w:val="7F8C8D"/>
          <w:sz w:val="22"/>
          <w:szCs w:val="22"/>
        </w:rPr>
        <w:t xml:space="preserve">[LOW] </w:t>
      </w:r>
      <w:r>
        <w:rPr>
          <w:rFonts w:ascii="Arial" w:cs="Arial" w:eastAsia="Arial" w:hAnsi="Arial"/>
          <w:sz w:val="22"/>
          <w:szCs w:val="22"/>
        </w:rPr>
        <w:t xml:space="preserve">Affects: </w:t>
      </w:r>
      <w:r>
        <w:rPr>
          <w:rFonts w:ascii="Courier New" w:cs="Courier New" w:eastAsia="Courier New" w:hAnsi="Courier New"/>
          <w:color w:val="C7254E"/>
          <w:sz w:val="20"/>
          <w:szCs w:val="20"/>
        </w:rPr>
        <w:t xml:space="preserve">aiml2003/module2/02-readings.html</w:t>
      </w:r>
      <w:r>
        <w:rPr>
          <w:rFonts w:ascii="Arial" w:cs="Arial" w:eastAsia="Arial" w:hAnsi="Arial"/>
          <w:sz w:val="22"/>
          <w:szCs w:val="22"/>
        </w:rPr>
        <w:t xml:space="preserve"> (line 44)</w:t>
      </w:r>
    </w:p>
    <w:p>
      <w:pPr>
        <w:spacing w:after="120" w:before="60" w:line="276"/>
      </w:pPr>
      <w:r>
        <w:rPr>
          <w:rFonts w:ascii="Arial" w:cs="Arial" w:eastAsia="Arial" w:hAnsi="Arial"/>
          <w:sz w:val="22"/>
          <w:szCs w:val="22"/>
        </w:rPr>
        <w:t xml:space="preserve">The resource description for the TF-IDF video reads:</w:t>
      </w:r>
    </w:p>
    <w:p>
      <w:pPr>
        <w:pBdr>
          <w:left w:val="single" w:color="999999" w:sz="3" w:space="8"/>
        </w:pBdr>
        <w:spacing w:after="80" w:before="80"/>
        <w:ind w:left="720" w:right="720"/>
      </w:pPr>
      <w:r>
        <w:rPr>
          <w:rFonts w:ascii="Courier New" w:cs="Courier New" w:eastAsia="Courier New" w:hAnsi="Courier New"/>
          <w:i/>
          <w:iCs/>
          <w:color w:val="555555"/>
          <w:sz w:val="18"/>
          <w:szCs w:val="18"/>
        </w:rPr>
        <w:t xml:space="preserve">A concise, accessible explanation of Term Frequence (TF) Inverse Document Frequence (IDF).</w:t>
      </w:r>
    </w:p>
    <w:p>
      <w:pPr>
        <w:pStyle w:val="Heading3"/>
        <w:spacing w:after="120" w:before="200"/>
      </w:pPr>
      <w:r>
        <w:rPr>
          <w:rFonts w:ascii="Arial" w:cs="Arial" w:eastAsia="Arial" w:hAnsi="Arial"/>
          <w:b/>
          <w:bCs/>
          <w:color w:val="444444"/>
          <w:sz w:val="22"/>
          <w:szCs w:val="22"/>
        </w:rPr>
        <w:t xml:space="preserve">Required Fix</w:t>
      </w:r>
    </w:p>
    <w:p>
      <w:pPr>
        <w:spacing w:after="120" w:before="60" w:line="276"/>
      </w:pPr>
      <w:r>
        <w:rPr>
          <w:rFonts w:ascii="Arial" w:cs="Arial" w:eastAsia="Arial" w:hAnsi="Arial"/>
          <w:sz w:val="22"/>
          <w:szCs w:val="22"/>
        </w:rPr>
        <w:t xml:space="preserve">Change both instances of "Frequence" to "Frequency."</w:t>
      </w:r>
    </w:p>
    <w:p>
      <w:r>
        <w:br w:type="page"/>
      </w:r>
    </w:p>
    <w:p>
      <w:pPr>
        <w:pStyle w:val="Heading1"/>
        <w:spacing w:after="200" w:before="360"/>
      </w:pPr>
      <w:r>
        <w:rPr>
          <w:rFonts w:ascii="Arial" w:cs="Arial" w:eastAsia="Arial" w:hAnsi="Arial"/>
          <w:b/>
          <w:bCs/>
          <w:color w:val="1A3A5C"/>
          <w:sz w:val="32"/>
          <w:szCs w:val="32"/>
        </w:rPr>
        <w:t xml:space="preserve">3. "Next Level" Recommendations</w:t>
      </w:r>
    </w:p>
    <w:p>
      <w:pPr>
        <w:pStyle w:val="Heading2"/>
        <w:spacing w:after="160" w:before="280"/>
      </w:pPr>
      <w:r>
        <w:rPr>
          <w:rFonts w:ascii="Arial" w:cs="Arial" w:eastAsia="Arial" w:hAnsi="Arial"/>
          <w:b/>
          <w:bCs/>
          <w:color w:val="2E5090"/>
          <w:sz w:val="26"/>
          <w:szCs w:val="26"/>
        </w:rPr>
        <w:t xml:space="preserve">3.1 What Works Well</w:t>
      </w:r>
    </w:p>
    <w:p>
      <w:pPr>
        <w:spacing w:after="120" w:before="60" w:line="276"/>
      </w:pPr>
      <w:r>
        <w:rPr>
          <w:rFonts w:ascii="Arial" w:cs="Arial" w:eastAsia="Arial" w:hAnsi="Arial"/>
          <w:sz w:val="22"/>
          <w:szCs w:val="22"/>
        </w:rPr>
        <w:t xml:space="preserve">Before the improvement suggestions, the strengths are worth naming because they represent design choices to carry forward into later modules.</w:t>
      </w:r>
    </w:p>
    <w:p>
      <w:pPr>
        <w:spacing w:after="120" w:before="60" w:line="276"/>
      </w:pPr>
      <w:r>
        <w:rPr>
          <w:rFonts w:ascii="Arial" w:cs="Arial" w:eastAsia="Arial" w:hAnsi="Arial"/>
          <w:b/>
          <w:bCs/>
          <w:sz w:val="22"/>
          <w:szCs w:val="22"/>
        </w:rPr>
        <w:t xml:space="preserve">The comparison-as-thesis structure. </w:t>
      </w:r>
      <w:r>
        <w:rPr>
          <w:rFonts w:ascii="Arial" w:cs="Arial" w:eastAsia="Arial" w:hAnsi="Arial"/>
          <w:sz w:val="22"/>
          <w:szCs w:val="22"/>
        </w:rPr>
        <w:t xml:space="preserve">Every lab is organized around a head-to-head comparison: TF-IDF vs. Gemini, HOG retrieval vs. random baselines, embeddings vs. hand-crafted features. This turns "learn about TF-IDF" into "find out where TF-IDF beats a large language model and where it does not," which is a question students can actually care about. The comparison also generates natural presentation content: disagreements between methods are inherently interesting to present.</w:t>
      </w:r>
    </w:p>
    <w:p>
      <w:pPr>
        <w:spacing w:after="120" w:before="60" w:line="276"/>
      </w:pPr>
      <w:r>
        <w:rPr>
          <w:rFonts w:ascii="Arial" w:cs="Arial" w:eastAsia="Arial" w:hAnsi="Arial"/>
          <w:b/>
          <w:bCs/>
          <w:sz w:val="22"/>
          <w:szCs w:val="22"/>
        </w:rPr>
        <w:t xml:space="preserve">The failure-first lab design. </w:t>
      </w:r>
      <w:r>
        <w:rPr>
          <w:rFonts w:ascii="Arial" w:cs="Arial" w:eastAsia="Arial" w:hAnsi="Arial"/>
          <w:sz w:val="22"/>
          <w:szCs w:val="22"/>
        </w:rPr>
        <w:t xml:space="preserve">Both Module 2 labs and both Module 3 labs treat failure cases as the primary learning artifact. Cell 6 in the NLP sentiment lab (high-confidence mistakes) and Cell 7 in the HOG lab (systematic failure analysis) are particularly well designed. Students who complete these cells leave with a concrete understanding of what each feature representation cannot encode, which is more durable than understanding what it can.</w:t>
      </w:r>
    </w:p>
    <w:p>
      <w:pPr>
        <w:spacing w:after="120" w:before="60" w:line="276"/>
      </w:pPr>
      <w:r>
        <w:rPr>
          <w:rFonts w:ascii="Arial" w:cs="Arial" w:eastAsia="Arial" w:hAnsi="Arial"/>
          <w:b/>
          <w:bCs/>
          <w:sz w:val="22"/>
          <w:szCs w:val="22"/>
        </w:rPr>
        <w:t xml:space="preserve">Grounded ethics threads. </w:t>
      </w:r>
      <w:r>
        <w:rPr>
          <w:rFonts w:ascii="Arial" w:cs="Arial" w:eastAsia="Arial" w:hAnsi="Arial"/>
          <w:sz w:val="22"/>
          <w:szCs w:val="22"/>
        </w:rPr>
        <w:t xml:space="preserve">The ethics discussions reference specific lab outputs: the coefficient bar chart (Module 2 NLP), the HOG pedestrian detection origin story (Module 2 CV), the ImageNet bias research (Module 3 CV). Requiring students to reference their own lab findings in a 150–250 word post is a tighter constraint than most introductory courses attempt, and it should produce better writing.</w:t>
      </w:r>
    </w:p>
    <w:p>
      <w:pPr>
        <w:spacing w:after="120" w:before="60" w:line="276"/>
      </w:pPr>
      <w:r>
        <w:rPr>
          <w:rFonts w:ascii="Arial" w:cs="Arial" w:eastAsia="Arial" w:hAnsi="Arial"/>
          <w:b/>
          <w:bCs/>
          <w:sz w:val="22"/>
          <w:szCs w:val="22"/>
        </w:rPr>
        <w:t xml:space="preserve">The scaffolding ramp. </w:t>
      </w:r>
      <w:r>
        <w:rPr>
          <w:rFonts w:ascii="Arial" w:cs="Arial" w:eastAsia="Arial" w:hAnsi="Arial"/>
          <w:sz w:val="22"/>
          <w:szCs w:val="22"/>
        </w:rPr>
        <w:t xml:space="preserve">Module 1 gives students lab choice (three options). Module 2 gives two versions: full scaffold and challenge. Module 3 removes the scaffold entirely and requires LLM-assisted code generation. This is the right progression for a course that expects students to use GenAI tools professionally.</w:t>
      </w:r>
    </w:p>
    <w:p>
      <w:pPr>
        <w:pStyle w:val="Heading2"/>
        <w:spacing w:after="160" w:before="280"/>
      </w:pPr>
      <w:r>
        <w:rPr>
          <w:rFonts w:ascii="Arial" w:cs="Arial" w:eastAsia="Arial" w:hAnsi="Arial"/>
          <w:b/>
          <w:bCs/>
          <w:color w:val="2E5090"/>
          <w:sz w:val="26"/>
          <w:szCs w:val="26"/>
        </w:rPr>
        <w:t xml:space="preserve">3.2 Pedagogical Risks</w:t>
      </w:r>
    </w:p>
    <w:p>
      <w:pPr>
        <w:pStyle w:val="Heading3"/>
        <w:spacing w:after="120" w:before="200"/>
      </w:pPr>
      <w:r>
        <w:rPr>
          <w:rFonts w:ascii="Arial" w:cs="Arial" w:eastAsia="Arial" w:hAnsi="Arial"/>
          <w:b/>
          <w:bCs/>
          <w:color w:val="444444"/>
          <w:sz w:val="22"/>
          <w:szCs w:val="22"/>
        </w:rPr>
        <w:t xml:space="preserve">The Scaffolding Cliff Between Module 2 and Module 3</w:t>
      </w:r>
    </w:p>
    <w:p>
      <w:pPr>
        <w:spacing w:after="120" w:before="60" w:line="276"/>
      </w:pPr>
      <w:r>
        <w:rPr>
          <w:rFonts w:ascii="Arial" w:cs="Arial" w:eastAsia="Arial" w:hAnsi="Arial"/>
          <w:sz w:val="22"/>
          <w:szCs w:val="22"/>
        </w:rPr>
        <w:t xml:space="preserve">Module 2 offers a full code scaffold (training wheels) and a challenge version. Module 3 offers only specification boxes. A student who chose the training wheels version for both Module 1 and Module 2 has never written a single cell from a specification. Module 3 asks them to write nine.</w:t>
      </w:r>
    </w:p>
    <w:p>
      <w:pPr>
        <w:spacing w:after="120" w:before="60" w:line="276"/>
      </w:pPr>
      <w:r>
        <w:rPr>
          <w:rFonts w:ascii="Arial" w:cs="Arial" w:eastAsia="Arial" w:hAnsi="Arial"/>
          <w:sz w:val="22"/>
          <w:szCs w:val="22"/>
        </w:rPr>
        <w:t xml:space="preserve">This is not necessarily wrong, but it is a risk. The warning box in Module 3 ("No code scaffold this week") is clear, but it arrives on the same page as the new material (embeddings). The student must simultaneously learn a new concept and adopt a new workflow.</w:t>
      </w:r>
    </w:p>
    <w:p>
      <w:pPr>
        <w:spacing w:after="120" w:before="60" w:line="276"/>
      </w:pPr>
      <w:r>
        <w:rPr>
          <w:rFonts w:ascii="Arial" w:cs="Arial" w:eastAsia="Arial" w:hAnsi="Arial"/>
          <w:b/>
          <w:bCs/>
          <w:sz w:val="22"/>
          <w:szCs w:val="22"/>
        </w:rPr>
        <w:t xml:space="preserve">Recommendation: </w:t>
      </w:r>
      <w:r>
        <w:rPr>
          <w:rFonts w:ascii="Arial" w:cs="Arial" w:eastAsia="Arial" w:hAnsi="Arial"/>
          <w:sz w:val="22"/>
          <w:szCs w:val="22"/>
        </w:rPr>
        <w:t xml:space="preserve">Consider adding a brief "warm-up" cell at the top of the Module 3 lab: a single specification box that asks students to replicate something trivial from Module 2 (for example, load a library and print its version) using the spec-to-LLM workflow. This separates the workflow learning from the content learning and gives students a low-stakes success before the real cells begin.</w:t>
      </w:r>
    </w:p>
    <w:p>
      <w:pPr>
        <w:pStyle w:val="Heading3"/>
        <w:spacing w:after="120" w:before="200"/>
      </w:pPr>
      <w:r>
        <w:rPr>
          <w:rFonts w:ascii="Arial" w:cs="Arial" w:eastAsia="Arial" w:hAnsi="Arial"/>
          <w:b/>
          <w:bCs/>
          <w:color w:val="444444"/>
          <w:sz w:val="22"/>
          <w:szCs w:val="22"/>
        </w:rPr>
        <w:t xml:space="preserve">Module 3 NLP Lab Dataset Design</w:t>
      </w:r>
    </w:p>
    <w:p>
      <w:pPr>
        <w:spacing w:after="120" w:before="60" w:line="276"/>
      </w:pPr>
      <w:r>
        <w:rPr>
          <w:rFonts w:ascii="Arial" w:cs="Arial" w:eastAsia="Arial" w:hAnsi="Arial"/>
          <w:sz w:val="22"/>
          <w:szCs w:val="22"/>
        </w:rPr>
        <w:t xml:space="preserve">Beyond the missing JSON file (Section 2.2), the dataset design itself requires careful curation. The lab promises that "cooking and technology share process vocabulary" and that edge cases "deliberately span two or three categories." If the dataset is poorly curated, the TF-IDF vs. embedding comparison will be uninteresting. A student who creates 65 texts manually will likely produce texts that are too easy to distinguish, defeating the purpose. The dataset should be instructor-created and distributed as a fixed file.</w:t>
      </w:r>
    </w:p>
    <w:p>
      <w:pPr>
        <w:pStyle w:val="Heading2"/>
        <w:spacing w:after="160" w:before="280"/>
      </w:pPr>
      <w:r>
        <w:rPr>
          <w:rFonts w:ascii="Arial" w:cs="Arial" w:eastAsia="Arial" w:hAnsi="Arial"/>
          <w:b/>
          <w:bCs/>
          <w:color w:val="2E5090"/>
          <w:sz w:val="26"/>
          <w:szCs w:val="26"/>
        </w:rPr>
        <w:t xml:space="preserve">3.3 Concrete Improvement Suggestions</w:t>
      </w:r>
    </w:p>
    <w:p>
      <w:pPr>
        <w:pStyle w:val="Heading3"/>
        <w:spacing w:after="120" w:before="200"/>
      </w:pPr>
      <w:r>
        <w:rPr>
          <w:rFonts w:ascii="Arial" w:cs="Arial" w:eastAsia="Arial" w:hAnsi="Arial"/>
          <w:b/>
          <w:bCs/>
          <w:color w:val="444444"/>
          <w:sz w:val="22"/>
          <w:szCs w:val="22"/>
        </w:rPr>
        <w:t xml:space="preserve">For Module 2 (Hand-Crafted Features)</w:t>
      </w:r>
    </w:p>
    <w:p>
      <w:pPr>
        <w:pStyle w:val="ListParagraph"/>
        <w:numPr>
          <w:ilvl w:val="0"/>
          <w:numId w:val="2"/>
        </w:numPr>
        <w:spacing w:after="80" w:before="40" w:line="276"/>
      </w:pPr>
      <w:r>
        <w:rPr>
          <w:rFonts w:ascii="Arial" w:cs="Arial" w:eastAsia="Arial" w:hAnsi="Arial"/>
          <w:b/>
          <w:bCs/>
          <w:sz w:val="22"/>
          <w:szCs w:val="22"/>
        </w:rPr>
        <w:t xml:space="preserve">Add a "feature engineering intuition" warm-up before the lab. </w:t>
      </w:r>
      <w:r>
        <w:rPr>
          <w:rFonts w:ascii="Arial" w:cs="Arial" w:eastAsia="Arial" w:hAnsi="Arial"/>
          <w:sz w:val="22"/>
          <w:szCs w:val="22"/>
        </w:rPr>
        <w:t xml:space="preserve">Both Module 2 labs ask students to compute feature vectors, but neither asks them to predict what would happen first. A short pre-lab exercise ("Given these two movie reviews, which words do you think a TF-IDF model would use to distinguish them?") would build the intuition that the lab then confirms or contradicts.</w:t>
      </w:r>
    </w:p>
    <w:p>
      <w:pPr>
        <w:pStyle w:val="ListParagraph"/>
        <w:numPr>
          <w:ilvl w:val="0"/>
          <w:numId w:val="2"/>
        </w:numPr>
        <w:spacing w:after="80" w:before="40" w:line="276"/>
      </w:pPr>
      <w:r>
        <w:rPr>
          <w:rFonts w:ascii="Arial" w:cs="Arial" w:eastAsia="Arial" w:hAnsi="Arial"/>
          <w:b/>
          <w:bCs/>
          <w:sz w:val="22"/>
          <w:szCs w:val="22"/>
        </w:rPr>
        <w:t xml:space="preserve">NLP: Consider adding a negation-handling experiment. </w:t>
      </w:r>
      <w:r>
        <w:rPr>
          <w:rFonts w:ascii="Arial" w:cs="Arial" w:eastAsia="Arial" w:hAnsi="Arial"/>
          <w:sz w:val="22"/>
          <w:szCs w:val="22"/>
        </w:rPr>
        <w:t xml:space="preserve">The lab already identifies negation as a failure mode in the markdown prompts. A small extension (run the TF-IDF model on 10 reviews containing "not bad," "not great," "never fails to disappoint" and tabulate results) would make the failure concrete rather than anecdotal. This is a five-minute addition that consistently produces a strong learning moment.</w:t>
      </w:r>
    </w:p>
    <w:p>
      <w:pPr>
        <w:pStyle w:val="ListParagraph"/>
        <w:numPr>
          <w:ilvl w:val="0"/>
          <w:numId w:val="2"/>
        </w:numPr>
        <w:spacing w:after="80" w:before="40" w:line="276"/>
      </w:pPr>
      <w:r>
        <w:rPr>
          <w:rFonts w:ascii="Arial" w:cs="Arial" w:eastAsia="Arial" w:hAnsi="Arial"/>
          <w:b/>
          <w:bCs/>
          <w:sz w:val="22"/>
          <w:szCs w:val="22"/>
        </w:rPr>
        <w:t xml:space="preserve">CV: Add a color-blind retrieval test. </w:t>
      </w:r>
      <w:r>
        <w:rPr>
          <w:rFonts w:ascii="Arial" w:cs="Arial" w:eastAsia="Arial" w:hAnsi="Arial"/>
          <w:sz w:val="22"/>
          <w:szCs w:val="22"/>
        </w:rPr>
        <w:t xml:space="preserve">HOG discards color by design. A deliberate test (query a red car, observe that blue cars rank equally) would make the color-blindness tangible. The current lab touches this in the markdown prompts but does not force the student to confront it experimentally.</w:t>
      </w:r>
    </w:p>
    <w:p>
      <w:pPr>
        <w:pStyle w:val="ListParagraph"/>
        <w:numPr>
          <w:ilvl w:val="0"/>
          <w:numId w:val="2"/>
        </w:numPr>
        <w:spacing w:after="80" w:before="40" w:line="276"/>
      </w:pPr>
      <w:r>
        <w:rPr>
          <w:rFonts w:ascii="Arial" w:cs="Arial" w:eastAsia="Arial" w:hAnsi="Arial"/>
          <w:b/>
          <w:bCs/>
          <w:sz w:val="22"/>
          <w:szCs w:val="22"/>
        </w:rPr>
        <w:t xml:space="preserve">Modern reading addition for NLP. </w:t>
      </w:r>
      <w:r>
        <w:rPr>
          <w:rFonts w:ascii="Arial" w:cs="Arial" w:eastAsia="Arial" w:hAnsi="Arial"/>
          <w:sz w:val="22"/>
          <w:szCs w:val="22"/>
        </w:rPr>
        <w:t xml:space="preserve">The 2024 ACL paper "Stop! Is TF-IDF the Best Feature for Text Classification?" by Shankar et al. benchmarks TF-IDF against BERT-family models across 12 classification tasks and shows TF-IDF still wins on small, clean corpora. This would make the lab's "simple math still holds up" thesis feel less like a pedagogical exercise and more like a real finding.</w:t>
      </w:r>
    </w:p>
    <w:p>
      <w:pPr>
        <w:pStyle w:val="Heading3"/>
        <w:spacing w:after="120" w:before="200"/>
      </w:pPr>
      <w:r>
        <w:rPr>
          <w:rFonts w:ascii="Arial" w:cs="Arial" w:eastAsia="Arial" w:hAnsi="Arial"/>
          <w:b/>
          <w:bCs/>
          <w:color w:val="444444"/>
          <w:sz w:val="22"/>
          <w:szCs w:val="22"/>
        </w:rPr>
        <w:t xml:space="preserve">For Module 3 (Learned Embeddings)</w:t>
      </w:r>
    </w:p>
    <w:p>
      <w:pPr>
        <w:pStyle w:val="ListParagraph"/>
        <w:numPr>
          <w:ilvl w:val="0"/>
          <w:numId w:val="2"/>
        </w:numPr>
        <w:spacing w:after="80" w:before="40" w:line="276"/>
      </w:pPr>
      <w:r>
        <w:rPr>
          <w:rFonts w:ascii="Arial" w:cs="Arial" w:eastAsia="Arial" w:hAnsi="Arial"/>
          <w:b/>
          <w:bCs/>
          <w:sz w:val="22"/>
          <w:szCs w:val="22"/>
        </w:rPr>
        <w:t xml:space="preserve">NLP: Add a bias probe. </w:t>
      </w:r>
      <w:r>
        <w:rPr>
          <w:rFonts w:ascii="Arial" w:cs="Arial" w:eastAsia="Arial" w:hAnsi="Arial"/>
          <w:sz w:val="22"/>
          <w:szCs w:val="22"/>
        </w:rPr>
        <w:t xml:space="preserve">The ethics thread asks about embedding bias, but the lab never measures it. A single cell asking students to compute cosine_similarity("nurse", "woman") vs. cosine_similarity("nurse", "man") using the sentence transformer would ground the ethics discussion in a number the student generated themselves. The Bolukbasi et al. (2016) debiasing paper is already referenced in the ethics prompt; making the bias measurable in the lab closes the loop.</w:t>
      </w:r>
    </w:p>
    <w:p>
      <w:pPr>
        <w:pStyle w:val="ListParagraph"/>
        <w:numPr>
          <w:ilvl w:val="0"/>
          <w:numId w:val="2"/>
        </w:numPr>
        <w:spacing w:after="80" w:before="40" w:line="276"/>
      </w:pPr>
      <w:r>
        <w:rPr>
          <w:rFonts w:ascii="Arial" w:cs="Arial" w:eastAsia="Arial" w:hAnsi="Arial"/>
          <w:b/>
          <w:bCs/>
          <w:sz w:val="22"/>
          <w:szCs w:val="22"/>
        </w:rPr>
        <w:t xml:space="preserve">CV: Add an adversarial similarity query. </w:t>
      </w:r>
      <w:r>
        <w:rPr>
          <w:rFonts w:ascii="Arial" w:cs="Arial" w:eastAsia="Arial" w:hAnsi="Arial"/>
          <w:sz w:val="22"/>
          <w:szCs w:val="22"/>
        </w:rPr>
        <w:t xml:space="preserve">MobileNetV2 embeddings are vulnerable to images that share background texture but differ in foreground content (e.g., a ship on water retrieves a duck on water). A deliberate adversarial query cell ("find two images from different classes with the highest cosine similarity") would surface this failure mode systematically rather than hoping the random retrieval catches it.</w:t>
      </w:r>
    </w:p>
    <w:p>
      <w:pPr>
        <w:pStyle w:val="ListParagraph"/>
        <w:numPr>
          <w:ilvl w:val="0"/>
          <w:numId w:val="2"/>
        </w:numPr>
        <w:spacing w:after="80" w:before="40" w:line="276"/>
      </w:pPr>
      <w:r>
        <w:rPr>
          <w:rFonts w:ascii="Arial" w:cs="Arial" w:eastAsia="Arial" w:hAnsi="Arial"/>
          <w:b/>
          <w:bCs/>
          <w:sz w:val="22"/>
          <w:szCs w:val="22"/>
        </w:rPr>
        <w:t xml:space="preserve">Both courses: Replace the static t-SNE with an interactive projector. </w:t>
      </w:r>
      <w:r>
        <w:rPr>
          <w:rFonts w:ascii="Arial" w:cs="Arial" w:eastAsia="Arial" w:hAnsi="Arial"/>
          <w:sz w:val="22"/>
          <w:szCs w:val="22"/>
        </w:rPr>
        <w:t xml:space="preserve">The lab produces a matplotlib scatter plot, but the Google Embedding Projector (already assigned as a reading in NLP Module 3) can accept custom vectors via CSV upload. An optional step saying "export your embeddings to CSV and load them into the Projector" would let students explore the high-dimensional space interactively. This connects the readings to the lab in a way that a static 2D plot cannot.</w:t>
      </w:r>
    </w:p>
    <w:p>
      <w:pPr>
        <w:pStyle w:val="ListParagraph"/>
        <w:numPr>
          <w:ilvl w:val="0"/>
          <w:numId w:val="2"/>
        </w:numPr>
        <w:spacing w:after="80" w:before="40" w:line="276"/>
      </w:pPr>
      <w:r>
        <w:rPr>
          <w:rFonts w:ascii="Arial" w:cs="Arial" w:eastAsia="Arial" w:hAnsi="Arial"/>
          <w:b/>
          <w:bCs/>
          <w:sz w:val="22"/>
          <w:szCs w:val="22"/>
        </w:rPr>
        <w:t xml:space="preserve">Modern reading addition for CV. </w:t>
      </w:r>
      <w:r>
        <w:rPr>
          <w:rFonts w:ascii="Arial" w:cs="Arial" w:eastAsia="Arial" w:hAnsi="Arial"/>
          <w:sz w:val="22"/>
          <w:szCs w:val="22"/>
        </w:rPr>
        <w:t xml:space="preserve">The 2023 paper "DINOv2: Learning Robust Visual Features without Supervision" (Oquab et al., Meta AI) shows self-supervised vision transformers outperforming supervised ImageNet models on transfer tasks. It is publicly available, short, and would extend the "what ImageNet thinks the world looks like" ethics thread by showing an alternative: models that learn from image structure alone, without the 1,000-category label system.</w:t>
      </w:r>
    </w:p>
    <w:p>
      <w:pPr>
        <w:pBdr>
          <w:top w:val="single" w:color="1A3A5C" w:sz="2" w:space="8"/>
        </w:pBdr>
        <w:spacing w:before="360"/>
      </w:pPr>
    </w:p>
    <w:p>
      <w:pPr>
        <w:pStyle w:val="Heading2"/>
        <w:spacing w:after="160" w:before="280"/>
      </w:pPr>
      <w:r>
        <w:rPr>
          <w:rFonts w:ascii="Arial" w:cs="Arial" w:eastAsia="Arial" w:hAnsi="Arial"/>
          <w:b/>
          <w:bCs/>
          <w:color w:val="2E5090"/>
          <w:sz w:val="26"/>
          <w:szCs w:val="26"/>
        </w:rPr>
        <w:t xml:space="preserve">Summary of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60"/>
        <w:gridCol w:w="1500"/>
        <w:gridCol w:w="1400"/>
      </w:tblGrid>
      <w:tr>
        <w:tc>
          <w:tcPr>
            <w:tcW w:type="dxa" w:w="1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2.1</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Demo vs. Presentation contradiction (NLP Mod 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3 files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Missing lab3-dataset.json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 file + create</w:t>
            </w:r>
          </w:p>
        </w:tc>
      </w:tr>
      <w:tr>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2.3</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Missing syllabus notice (Mod 2 overviews)</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2 files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Wrong model names in bridge box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E67E22"/>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1 file</w:t>
            </w:r>
          </w:p>
        </w:tc>
      </w:tr>
      <w:tr>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2.5</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Combined time vs. rubric window</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7F8C8D"/>
                <w:sz w:val="20"/>
                <w:szCs w:val="20"/>
              </w:rPr>
              <w:t xml:space="preserve">LOW</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Policy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2.6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Em dash violations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7F8C8D"/>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20"/>
                <w:szCs w:val="20"/>
              </w:rPr>
              <w:t xml:space="preserve">~8 files</w:t>
            </w:r>
          </w:p>
        </w:tc>
      </w:tr>
      <w:tr>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2.7</w:t>
            </w:r>
          </w:p>
        </w:tc>
        <w:tc>
          <w:tcPr>
            <w:tcW w:type="dxa" w:w="5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Typo: Frequence</w:t>
            </w:r>
          </w:p>
        </w:tc>
        <w:tc>
          <w:tcPr>
            <w:tcW w:type="dxa" w:w="15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bCs/>
                <w:color w:val="7F8C8D"/>
                <w:sz w:val="20"/>
                <w:szCs w:val="20"/>
              </w:rPr>
              <w:t xml:space="preserve">LOW</w:t>
            </w:r>
          </w:p>
        </w:tc>
        <w:tc>
          <w:tcPr>
            <w:tcW w:type="dxa" w:w="14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r>
              <w:rPr>
                <w:rFonts w:ascii="Arial" w:cs="Arial" w:eastAsia="Arial" w:hAnsi="Arial"/>
                <w:b w:val="false"/>
                <w:bCs w:val="false"/>
                <w:color w:val="333333"/>
                <w:sz w:val="20"/>
                <w:szCs w:val="20"/>
              </w:rPr>
              <w:t xml:space="preserve">1 file</w:t>
            </w:r>
          </w:p>
        </w:tc>
      </w:tr>
    </w:tbl>
    <w:p>
      <w:pPr>
        <w:spacing w:after="120" w:before="60" w:line="276"/>
      </w:pPr>
      <w:r>
        <w:rPr>
          <w:rFonts w:ascii="Arial" w:cs="Arial" w:eastAsia="Arial" w:hAnsi="Arial"/>
          <w:sz w:val="22"/>
          <w:szCs w:val="22"/>
        </w:rPr>
        <w:t xml:space="preserve">The two HIGH items (Sections 2.1 and 2.2) should be resolved before Module 3 goes live. The MEDIUM items should be fixed in the next build cycle. The LOW items can be batched into a cleanup pass.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120"/>
    </w:pPr>
    <w:r>
      <w:rPr>
        <w:rFonts w:ascii="Arial" w:cs="Arial" w:eastAsia="Arial" w:hAnsi="Arial"/>
        <w:color w:val="999999"/>
        <w:sz w:val="18"/>
        <w:szCs w:val="18"/>
      </w:rPr>
      <w:t xml:space="preserve">Module Review: AIML 2003 &amp; AIML 2013 (Modules 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2026-03-30T03:22:12.021Z</dcterms:created>
  <dcterms:modified xsi:type="dcterms:W3CDTF">2026-03-30T03:22:12.021Z</dcterms:modified>
</cp:coreProperties>
</file>

<file path=docProps/custom.xml><?xml version="1.0" encoding="utf-8"?>
<Properties xmlns="http://schemas.openxmlformats.org/officeDocument/2006/custom-properties" xmlns:vt="http://schemas.openxmlformats.org/officeDocument/2006/docPropsVTypes"/>
</file>