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left"/>
      </w:pPr>
      <w:r>
        <w:rPr>
          <w:rFonts w:ascii="Arial" w:cs="Arial" w:eastAsia="Arial" w:hAnsi="Arial"/>
          <w:b/>
          <w:bCs/>
          <w:color w:val="1B2A4A"/>
          <w:sz w:val="52"/>
          <w:szCs w:val="52"/>
        </w:rPr>
        <w:t xml:space="preserve">CREST CISR MATURITY ASSESSMENT</w:t>
      </w:r>
    </w:p>
    <w:p>
      <w:pPr>
        <w:spacing w:after="80" w:before="0"/>
        <w:jc w:val="left"/>
      </w:pPr>
      <w:r>
        <w:rPr>
          <w:rFonts w:ascii="Arial" w:cs="Arial" w:eastAsia="Arial" w:hAnsi="Arial"/>
          <w:b w:val="false"/>
          <w:bCs w:val="false"/>
          <w:color w:val="0069CC"/>
          <w:sz w:val="36"/>
          <w:szCs w:val="36"/>
        </w:rPr>
        <w:t xml:space="preserve">Pre-Engagement Pack</w:t>
      </w:r>
    </w:p>
    <w:p>
      <w:pPr>
        <w:pBdr>
          <w:bottom w:val="single" w:color="0069CC" w:sz="12" w:space="2"/>
        </w:pBdr>
        <w:spacing w:after="200" w:before="160"/>
      </w:pPr>
      <w:r>
        <w:t xml:space="preserve"/>
      </w:r>
    </w:p>
    <w:p>
      <w:pPr>
        <w:spacing w:after="1200" w:before="0"/>
      </w:pPr>
      <w:r>
        <w:rPr>
          <w:rFonts w:ascii="Arial" w:cs="Arial" w:eastAsia="Arial" w:hAnsi="Arial"/>
          <w:i/>
          <w:iCs/>
          <w:color w:val="4A5568"/>
          <w:sz w:val="20"/>
          <w:szCs w:val="20"/>
        </w:rPr>
        <w:t xml:space="preserve">Document Request List  ·  Stakeholder Interview Schedule  ·  System Access Requirements  ·  Interview Question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0" w:before="0"/>
            </w:pPr>
            <w:r>
              <w:rPr>
                <w:rFonts w:ascii="Arial" w:cs="Arial" w:eastAsia="Arial" w:hAnsi="Arial"/>
                <w:b/>
                <w:bCs/>
                <w:color w:val="4A5568"/>
                <w:sz w:val="20"/>
                <w:szCs w:val="20"/>
              </w:rPr>
              <w:t xml:space="preserve">Organisation</w:t>
            </w:r>
          </w:p>
        </w:tc>
        <w:tc>
          <w:tcPr>
            <w:tcW w:type="dxa" w:w="6826"/>
            <w:tcBorders>
              <w:bottom w:val="single" w:color="E3E7ED" w:sz="4"/>
            </w:tcBorders>
            <w:tcMar>
              <w:top w:type="dxa" w:w="80"/>
              <w:left w:type="dxa" w:w="120"/>
              <w:bottom w:type="dxa" w:w="80"/>
              <w:right w:type="dxa" w:w="0"/>
            </w:tcMar>
          </w:tcPr>
          <w:p>
            <w:pPr>
              <w:spacing w:after="0" w:before="0"/>
            </w:pPr>
            <w:r>
              <w:rPr>
                <w:rFonts w:ascii="Arial" w:cs="Arial" w:eastAsia="Arial" w:hAnsi="Arial"/>
                <w:color w:val="1A1F2E"/>
                <w:sz w:val="20"/>
                <w:szCs w:val="20"/>
              </w:rPr>
              <w:t xml:space="preserve">[Client organisation name]</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0" w:before="0"/>
            </w:pPr>
            <w:r>
              <w:rPr>
                <w:rFonts w:ascii="Arial" w:cs="Arial" w:eastAsia="Arial" w:hAnsi="Arial"/>
                <w:b/>
                <w:bCs/>
                <w:color w:val="4A5568"/>
                <w:sz w:val="20"/>
                <w:szCs w:val="20"/>
              </w:rPr>
              <w:t xml:space="preserve">Assessment Lead</w:t>
            </w:r>
          </w:p>
        </w:tc>
        <w:tc>
          <w:tcPr>
            <w:tcW w:type="dxa" w:w="6826"/>
            <w:tcBorders>
              <w:bottom w:val="single" w:color="E3E7ED" w:sz="4"/>
            </w:tcBorders>
            <w:tcMar>
              <w:top w:type="dxa" w:w="80"/>
              <w:left w:type="dxa" w:w="120"/>
              <w:bottom w:type="dxa" w:w="80"/>
              <w:right w:type="dxa" w:w="0"/>
            </w:tcMar>
          </w:tcPr>
          <w:p>
            <w:pPr>
              <w:spacing w:after="0" w:before="0"/>
            </w:pPr>
            <w:r>
              <w:rPr>
                <w:rFonts w:ascii="Arial" w:cs="Arial" w:eastAsia="Arial" w:hAnsi="Arial"/>
                <w:color w:val="1A1F2E"/>
                <w:sz w:val="20"/>
                <w:szCs w:val="20"/>
              </w:rPr>
              <w:t xml:space="preserve">[Consultant name and grade]</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0" w:before="0"/>
            </w:pPr>
            <w:r>
              <w:rPr>
                <w:rFonts w:ascii="Arial" w:cs="Arial" w:eastAsia="Arial" w:hAnsi="Arial"/>
                <w:b/>
                <w:bCs/>
                <w:color w:val="4A5568"/>
                <w:sz w:val="20"/>
                <w:szCs w:val="20"/>
              </w:rPr>
              <w:t xml:space="preserve">Engagement Ref.</w:t>
            </w:r>
          </w:p>
        </w:tc>
        <w:tc>
          <w:tcPr>
            <w:tcW w:type="dxa" w:w="6826"/>
            <w:tcBorders>
              <w:bottom w:val="single" w:color="E3E7ED" w:sz="4"/>
            </w:tcBorders>
            <w:tcMar>
              <w:top w:type="dxa" w:w="80"/>
              <w:left w:type="dxa" w:w="120"/>
              <w:bottom w:type="dxa" w:w="80"/>
              <w:right w:type="dxa" w:w="0"/>
            </w:tcMar>
          </w:tcPr>
          <w:p>
            <w:pPr>
              <w:spacing w:after="0" w:before="0"/>
            </w:pPr>
            <w:r>
              <w:rPr>
                <w:rFonts w:ascii="Arial" w:cs="Arial" w:eastAsia="Arial" w:hAnsi="Arial"/>
                <w:color w:val="1A1F2E"/>
                <w:sz w:val="20"/>
                <w:szCs w:val="20"/>
              </w:rPr>
              <w:t xml:space="preserve">[Reference number]</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0" w:before="0"/>
            </w:pPr>
            <w:r>
              <w:rPr>
                <w:rFonts w:ascii="Arial" w:cs="Arial" w:eastAsia="Arial" w:hAnsi="Arial"/>
                <w:b/>
                <w:bCs/>
                <w:color w:val="4A5568"/>
                <w:sz w:val="20"/>
                <w:szCs w:val="20"/>
              </w:rPr>
              <w:t xml:space="preserve">Document Request Sent</w:t>
            </w:r>
          </w:p>
        </w:tc>
        <w:tc>
          <w:tcPr>
            <w:tcW w:type="dxa" w:w="6826"/>
            <w:tcBorders>
              <w:bottom w:val="single" w:color="E3E7ED" w:sz="4"/>
            </w:tcBorders>
            <w:tcMar>
              <w:top w:type="dxa" w:w="80"/>
              <w:left w:type="dxa" w:w="120"/>
              <w:bottom w:type="dxa" w:w="80"/>
              <w:right w:type="dxa" w:w="0"/>
            </w:tcMar>
          </w:tcPr>
          <w:p>
            <w:pPr>
              <w:spacing w:after="0" w:before="0"/>
            </w:pPr>
            <w:r>
              <w:rPr>
                <w:rFonts w:ascii="Arial" w:cs="Arial" w:eastAsia="Arial" w:hAnsi="Arial"/>
                <w:color w:val="1A1F2E"/>
                <w:sz w:val="20"/>
                <w:szCs w:val="20"/>
              </w:rPr>
              <w:t xml:space="preserve">[Date]</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0" w:before="0"/>
            </w:pPr>
            <w:r>
              <w:rPr>
                <w:rFonts w:ascii="Arial" w:cs="Arial" w:eastAsia="Arial" w:hAnsi="Arial"/>
                <w:b/>
                <w:bCs/>
                <w:color w:val="4A5568"/>
                <w:sz w:val="20"/>
                <w:szCs w:val="20"/>
              </w:rPr>
              <w:t xml:space="preserve">Documents Due By</w:t>
            </w:r>
          </w:p>
        </w:tc>
        <w:tc>
          <w:tcPr>
            <w:tcW w:type="dxa" w:w="6826"/>
            <w:tcBorders>
              <w:bottom w:val="single" w:color="E3E7ED" w:sz="4"/>
            </w:tcBorders>
            <w:tcMar>
              <w:top w:type="dxa" w:w="80"/>
              <w:left w:type="dxa" w:w="120"/>
              <w:bottom w:type="dxa" w:w="80"/>
              <w:right w:type="dxa" w:w="0"/>
            </w:tcMar>
          </w:tcPr>
          <w:p>
            <w:pPr>
              <w:spacing w:after="0" w:before="0"/>
            </w:pPr>
            <w:r>
              <w:rPr>
                <w:rFonts w:ascii="Arial" w:cs="Arial" w:eastAsia="Arial" w:hAnsi="Arial"/>
                <w:color w:val="1A1F2E"/>
                <w:sz w:val="20"/>
                <w:szCs w:val="20"/>
              </w:rPr>
              <w:t xml:space="preserve">[Date — recommend 10 working days before kick-off]</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0" w:before="0"/>
            </w:pPr>
            <w:r>
              <w:rPr>
                <w:rFonts w:ascii="Arial" w:cs="Arial" w:eastAsia="Arial" w:hAnsi="Arial"/>
                <w:b/>
                <w:bCs/>
                <w:color w:val="4A5568"/>
                <w:sz w:val="20"/>
                <w:szCs w:val="20"/>
              </w:rPr>
              <w:t xml:space="preserve">Kick-off Date</w:t>
            </w:r>
          </w:p>
        </w:tc>
        <w:tc>
          <w:tcPr>
            <w:tcW w:type="dxa" w:w="6826"/>
            <w:tcBorders>
              <w:bottom w:val="single" w:color="E3E7ED" w:sz="4"/>
            </w:tcBorders>
            <w:tcMar>
              <w:top w:type="dxa" w:w="80"/>
              <w:left w:type="dxa" w:w="120"/>
              <w:bottom w:type="dxa" w:w="80"/>
              <w:right w:type="dxa" w:w="0"/>
            </w:tcMar>
          </w:tcPr>
          <w:p>
            <w:pPr>
              <w:spacing w:after="0" w:before="0"/>
            </w:pPr>
            <w:r>
              <w:rPr>
                <w:rFonts w:ascii="Arial" w:cs="Arial" w:eastAsia="Arial" w:hAnsi="Arial"/>
                <w:color w:val="1A1F2E"/>
                <w:sz w:val="20"/>
                <w:szCs w:val="20"/>
              </w:rPr>
              <w:t xml:space="preserve">[Date]</w:t>
            </w:r>
          </w:p>
        </w:tc>
      </w:tr>
    </w:tbl>
    <w:p>
      <w:r>
        <w:br w:type="page"/>
      </w:r>
    </w:p>
    <w:p>
      <w:pPr>
        <w:pStyle w:val="Heading1"/>
        <w:pBdr>
          <w:bottom w:val="single" w:color="0069CC" w:sz="6" w:space="4"/>
        </w:pBdr>
        <w:spacing w:after="120" w:before="360"/>
      </w:pPr>
      <w:r>
        <w:rPr>
          <w:rFonts w:ascii="Arial" w:cs="Arial" w:eastAsia="Arial" w:hAnsi="Arial"/>
          <w:b/>
          <w:bCs/>
          <w:color w:val="1B2A4A"/>
          <w:sz w:val="28"/>
          <w:szCs w:val="28"/>
        </w:rPr>
        <w:t xml:space="preserve">1. Introduction and Purpose</w:t>
      </w:r>
    </w:p>
    <w:p>
      <w:pPr>
        <w:spacing w:after="60" w:before="60"/>
        <w:ind/>
      </w:pPr>
      <w:r>
        <w:rPr>
          <w:rFonts w:ascii="Arial" w:cs="Arial" w:eastAsia="Arial" w:hAnsi="Arial"/>
          <w:i w:val="false"/>
          <w:iCs w:val="false"/>
          <w:color w:val="1A1F2E"/>
          <w:sz w:val="22"/>
          <w:szCs w:val="22"/>
        </w:rPr>
        <w:t xml:space="preserve">This pre-engagement pack has been prepared by [Consultancy name] to support the CREST Cyber Incident Simulation Review (CISR) maturity assessment of [Organisation name]. It sets out the documentation we require in advance, the stakeholders we would like to interview, the system access needed to complete the technical review, and the interview questions we will be working through.</w:t>
      </w:r>
    </w:p>
    <w:p>
      <w:pPr>
        <w:spacing w:after="0" w:before="120"/>
      </w:pPr>
      <w:r>
        <w:t xml:space="preserve"/>
      </w:r>
    </w:p>
    <w:p>
      <w:pPr>
        <w:spacing w:after="60" w:before="60"/>
        <w:ind/>
      </w:pPr>
      <w:r>
        <w:rPr>
          <w:rFonts w:ascii="Arial" w:cs="Arial" w:eastAsia="Arial" w:hAnsi="Arial"/>
          <w:i w:val="false"/>
          <w:iCs w:val="false"/>
          <w:color w:val="1A1F2E"/>
          <w:sz w:val="22"/>
          <w:szCs w:val="22"/>
        </w:rPr>
        <w:t xml:space="preserve">Please read this document carefully and assign a primary point of contact to coordinate document collection and interview scheduling. If any requested documentation does not exist, please note this rather than attempting to produce it — the absence of documentation is itself an important finding.</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9CC" w:sz="6"/>
              <w:left w:val="none" w:color="FFFFFF" w:sz="0"/>
              <w:bottom w:val="single" w:color="E3E7ED" w:sz="1"/>
              <w:right w:val="none" w:color="FFFFFF" w:sz="0"/>
            </w:tcBorders>
            <w:shd w:fill="F4F6F9" w:val="clear"/>
            <w:tcMar>
              <w:top w:type="dxa" w:w="120"/>
              <w:left w:type="dxa" w:w="160"/>
              <w:bottom w:type="dxa" w:w="120"/>
              <w:right w:type="dxa" w:w="160"/>
            </w:tcMar>
          </w:tcPr>
          <w:p>
            <w:pPr>
              <w:spacing w:after="40" w:before="0"/>
            </w:pPr>
            <w:r>
              <w:rPr>
                <w:rFonts w:ascii="Arial" w:cs="Arial" w:eastAsia="Arial" w:hAnsi="Arial"/>
                <w:b/>
                <w:bCs/>
                <w:color w:val="0069CC"/>
                <w:sz w:val="18"/>
                <w:szCs w:val="18"/>
              </w:rPr>
              <w:t xml:space="preserve">Important note on document gaps</w:t>
            </w:r>
          </w:p>
          <w:p>
            <w:pPr>
              <w:spacing w:after="0" w:before="0"/>
            </w:pPr>
            <w:r>
              <w:rPr>
                <w:rFonts w:ascii="Arial" w:cs="Arial" w:eastAsia="Arial" w:hAnsi="Arial"/>
                <w:color w:val="4A5568"/>
                <w:sz w:val="20"/>
                <w:szCs w:val="20"/>
              </w:rPr>
              <w:t xml:space="preserve">Please do not create documentation specifically for this assessment. If a policy, playbook or record does not currently exist, please note this alongside the relevant checklist item. Assessing what is genuinely in place — rather than what can be produced at short notice — is essential to producing a meaningful and actionable maturity report.</w:t>
            </w:r>
          </w:p>
        </w:tc>
      </w:tr>
    </w:tbl>
    <w:p>
      <w:pPr>
        <w:spacing w:after="0" w:before="160"/>
      </w:pPr>
      <w:r>
        <w:t xml:space="preserve"/>
      </w:r>
    </w:p>
    <w:p>
      <w:pPr>
        <w:pStyle w:val="Heading2"/>
        <w:spacing w:after="80" w:before="280"/>
      </w:pPr>
      <w:r>
        <w:rPr>
          <w:rFonts w:ascii="Arial" w:cs="Arial" w:eastAsia="Arial" w:hAnsi="Arial"/>
          <w:b/>
          <w:bCs/>
          <w:color w:val="1B2A4A"/>
          <w:sz w:val="24"/>
          <w:szCs w:val="24"/>
        </w:rPr>
        <w:t xml:space="preserve">1.1  Assessment Scope</w:t>
      </w:r>
    </w:p>
    <w:p>
      <w:pPr>
        <w:spacing w:after="60" w:before="60"/>
        <w:ind/>
      </w:pPr>
      <w:r>
        <w:rPr>
          <w:rFonts w:ascii="Arial" w:cs="Arial" w:eastAsia="Arial" w:hAnsi="Arial"/>
          <w:i w:val="false"/>
          <w:iCs w:val="false"/>
          <w:color w:val="1A1F2E"/>
          <w:sz w:val="22"/>
          <w:szCs w:val="22"/>
        </w:rPr>
        <w:t xml:space="preserve">The CREST CISR maturity assessment evaluates your organisation's incident response capability across eight domains:</w:t>
      </w:r>
    </w:p>
    <w:p>
      <w:pPr>
        <w:spacing w:after="0" w:before="40"/>
      </w:pPr>
      <w:r>
        <w:t xml:space="preserve"/>
      </w:r>
    </w:p>
    <w:p>
      <w:pPr>
        <w:pStyle w:val="ListParagraph"/>
        <w:numPr>
          <w:ilvl w:val="0"/>
          <w:numId w:val="2"/>
        </w:numPr>
        <w:spacing w:after="40" w:before="40"/>
      </w:pPr>
      <w:r>
        <w:rPr>
          <w:rFonts w:ascii="Arial" w:cs="Arial" w:eastAsia="Arial" w:hAnsi="Arial"/>
          <w:color w:val="1A1F2E"/>
          <w:sz w:val="22"/>
          <w:szCs w:val="22"/>
        </w:rPr>
        <w:t xml:space="preserve">Incident Response Governance</w:t>
      </w:r>
    </w:p>
    <w:p>
      <w:pPr>
        <w:pStyle w:val="ListParagraph"/>
        <w:numPr>
          <w:ilvl w:val="0"/>
          <w:numId w:val="2"/>
        </w:numPr>
        <w:spacing w:after="40" w:before="40"/>
      </w:pPr>
      <w:r>
        <w:rPr>
          <w:rFonts w:ascii="Arial" w:cs="Arial" w:eastAsia="Arial" w:hAnsi="Arial"/>
          <w:color w:val="1A1F2E"/>
          <w:sz w:val="22"/>
          <w:szCs w:val="22"/>
        </w:rPr>
        <w:t xml:space="preserve">Detection &amp; Alerting</w:t>
      </w:r>
    </w:p>
    <w:p>
      <w:pPr>
        <w:pStyle w:val="ListParagraph"/>
        <w:numPr>
          <w:ilvl w:val="0"/>
          <w:numId w:val="2"/>
        </w:numPr>
        <w:spacing w:after="40" w:before="40"/>
      </w:pPr>
      <w:r>
        <w:rPr>
          <w:rFonts w:ascii="Arial" w:cs="Arial" w:eastAsia="Arial" w:hAnsi="Arial"/>
          <w:color w:val="1A1F2E"/>
          <w:sz w:val="22"/>
          <w:szCs w:val="22"/>
        </w:rPr>
        <w:t xml:space="preserve">Incident Response Capability</w:t>
      </w:r>
    </w:p>
    <w:p>
      <w:pPr>
        <w:pStyle w:val="ListParagraph"/>
        <w:numPr>
          <w:ilvl w:val="0"/>
          <w:numId w:val="2"/>
        </w:numPr>
        <w:spacing w:after="40" w:before="40"/>
      </w:pPr>
      <w:r>
        <w:rPr>
          <w:rFonts w:ascii="Arial" w:cs="Arial" w:eastAsia="Arial" w:hAnsi="Arial"/>
          <w:color w:val="1A1F2E"/>
          <w:sz w:val="22"/>
          <w:szCs w:val="22"/>
        </w:rPr>
        <w:t xml:space="preserve">Regulatory Reporting &amp; Notification</w:t>
      </w:r>
    </w:p>
    <w:p>
      <w:pPr>
        <w:pStyle w:val="ListParagraph"/>
        <w:numPr>
          <w:ilvl w:val="0"/>
          <w:numId w:val="2"/>
        </w:numPr>
        <w:spacing w:after="40" w:before="40"/>
      </w:pPr>
      <w:r>
        <w:rPr>
          <w:rFonts w:ascii="Arial" w:cs="Arial" w:eastAsia="Arial" w:hAnsi="Arial"/>
          <w:color w:val="1A1F2E"/>
          <w:sz w:val="22"/>
          <w:szCs w:val="22"/>
        </w:rPr>
        <w:t xml:space="preserve">People, Skills &amp; Training</w:t>
      </w:r>
    </w:p>
    <w:p>
      <w:pPr>
        <w:pStyle w:val="ListParagraph"/>
        <w:numPr>
          <w:ilvl w:val="0"/>
          <w:numId w:val="2"/>
        </w:numPr>
        <w:spacing w:after="40" w:before="40"/>
      </w:pPr>
      <w:r>
        <w:rPr>
          <w:rFonts w:ascii="Arial" w:cs="Arial" w:eastAsia="Arial" w:hAnsi="Arial"/>
          <w:color w:val="1A1F2E"/>
          <w:sz w:val="22"/>
          <w:szCs w:val="22"/>
        </w:rPr>
        <w:t xml:space="preserve">Technical Environment &amp; Tooling</w:t>
      </w:r>
    </w:p>
    <w:p>
      <w:pPr>
        <w:pStyle w:val="ListParagraph"/>
        <w:numPr>
          <w:ilvl w:val="0"/>
          <w:numId w:val="2"/>
        </w:numPr>
        <w:spacing w:after="40" w:before="40"/>
      </w:pPr>
      <w:r>
        <w:rPr>
          <w:rFonts w:ascii="Arial" w:cs="Arial" w:eastAsia="Arial" w:hAnsi="Arial"/>
          <w:color w:val="1A1F2E"/>
          <w:sz w:val="22"/>
          <w:szCs w:val="22"/>
        </w:rPr>
        <w:t xml:space="preserve">Recovery &amp; Business Continuity</w:t>
      </w:r>
    </w:p>
    <w:p>
      <w:pPr>
        <w:pStyle w:val="ListParagraph"/>
        <w:numPr>
          <w:ilvl w:val="0"/>
          <w:numId w:val="2"/>
        </w:numPr>
        <w:spacing w:after="40" w:before="40"/>
      </w:pPr>
      <w:r>
        <w:rPr>
          <w:rFonts w:ascii="Arial" w:cs="Arial" w:eastAsia="Arial" w:hAnsi="Arial"/>
          <w:color w:val="1A1F2E"/>
          <w:sz w:val="22"/>
          <w:szCs w:val="22"/>
        </w:rPr>
        <w:t xml:space="preserve">Learning &amp; Continuous Improvement</w:t>
      </w:r>
    </w:p>
    <w:p>
      <w:pPr>
        <w:spacing w:after="0" w:before="80"/>
      </w:pPr>
      <w:r>
        <w:t xml:space="preserve"/>
      </w:r>
    </w:p>
    <w:p>
      <w:pPr>
        <w:spacing w:after="60" w:before="60"/>
        <w:ind/>
      </w:pPr>
      <w:r>
        <w:rPr>
          <w:rFonts w:ascii="Arial" w:cs="Arial" w:eastAsia="Arial" w:hAnsi="Arial"/>
          <w:i w:val="false"/>
          <w:iCs w:val="false"/>
          <w:color w:val="1A1F2E"/>
          <w:sz w:val="22"/>
          <w:szCs w:val="22"/>
        </w:rPr>
        <w:t xml:space="preserve">Each domain is assessed against a 0–4 maturity scale from Initial to Optimised. The output of the assessment is a formal IR Maturity Assessment Report covering methodology, domain findings, prioritised recommendations and a phased improvement roadmap.</w:t>
      </w:r>
    </w:p>
    <w:p>
      <w:r>
        <w:br w:type="page"/>
      </w:r>
    </w:p>
    <w:p>
      <w:pPr>
        <w:pStyle w:val="Heading1"/>
        <w:pBdr>
          <w:bottom w:val="single" w:color="0069CC" w:sz="6" w:space="4"/>
        </w:pBdr>
        <w:spacing w:after="120" w:before="360"/>
      </w:pPr>
      <w:r>
        <w:rPr>
          <w:rFonts w:ascii="Arial" w:cs="Arial" w:eastAsia="Arial" w:hAnsi="Arial"/>
          <w:b/>
          <w:bCs/>
          <w:color w:val="1B2A4A"/>
          <w:sz w:val="28"/>
          <w:szCs w:val="28"/>
        </w:rPr>
        <w:t xml:space="preserve">2. Document Request Checklist</w:t>
      </w:r>
    </w:p>
    <w:p>
      <w:pPr>
        <w:spacing w:after="60" w:before="60"/>
        <w:ind/>
      </w:pPr>
      <w:r>
        <w:rPr>
          <w:rFonts w:ascii="Arial" w:cs="Arial" w:eastAsia="Arial" w:hAnsi="Arial"/>
          <w:i w:val="false"/>
          <w:iCs w:val="false"/>
          <w:color w:val="1A1F2E"/>
          <w:sz w:val="22"/>
          <w:szCs w:val="22"/>
        </w:rPr>
        <w:t xml:space="preserve">Please provide the documents listed below in advance of the kick-off meeting. Where a document partially addresses the requirement, provide what exists and note any limitations. Shared drives, SharePoint links or email attachments are all acceptable.</w:t>
      </w:r>
    </w:p>
    <w:p>
      <w:pPr>
        <w:spacing w:after="0" w:before="80"/>
      </w:pPr>
      <w:r>
        <w:t xml:space="preserve"/>
      </w:r>
    </w:p>
    <w:p>
      <w:pPr>
        <w:pStyle w:val="Heading3"/>
        <w:spacing w:after="60" w:before="200"/>
      </w:pPr>
      <w:r>
        <w:rPr>
          <w:rFonts w:ascii="Arial" w:cs="Arial" w:eastAsia="Arial" w:hAnsi="Arial"/>
          <w:b/>
          <w:bCs/>
          <w:color w:val="006878"/>
          <w:sz w:val="22"/>
          <w:szCs w:val="22"/>
        </w:rPr>
        <w:t xml:space="preserve">2.1  IR Governance &amp;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800"/>
        <w:gridCol w:w="1826"/>
      </w:tblGrid>
      <w:tr>
        <w:trPr>
          <w:tblHeader/>
        </w:trPr>
        <w:tc>
          <w:tcPr>
            <w:tcW w:type="dxa" w:w="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Document / Artefact</w:t>
            </w:r>
          </w:p>
        </w:tc>
        <w:tc>
          <w:tcPr>
            <w:tcW w:type="dxa" w:w="2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Assessment Purpose</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Typical Source</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Incident Response Policy</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Governance domain — policy existence, approval, scope and review cadence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Security / CISO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Incident classification / severity framework</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Governance — severity tiers, definitions, escalation thresholds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Security / IR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RACI or responsibility matrix for IR roles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Governance — role clarity, accountability structure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Security / CISO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Data classification policy</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Supporting context for breach assessment and data handling</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Security / DPO</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Board or exec-level cyber risk reporting examples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Governance — executive engagement with IR</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CISO / Risk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Previous cyber security audit or assessment reports (last 3 years)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Baseline context, prior findings and remediation progress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Security / Risk team</w:t>
            </w:r>
          </w:p>
        </w:tc>
      </w:tr>
    </w:tbl>
    <w:p>
      <w:pPr>
        <w:spacing w:after="0" w:before="160"/>
      </w:pPr>
      <w:r>
        <w:t xml:space="preserve"/>
      </w:r>
    </w:p>
    <w:p>
      <w:pPr>
        <w:pStyle w:val="Heading3"/>
        <w:spacing w:after="60" w:before="200"/>
      </w:pPr>
      <w:r>
        <w:rPr>
          <w:rFonts w:ascii="Arial" w:cs="Arial" w:eastAsia="Arial" w:hAnsi="Arial"/>
          <w:b/>
          <w:bCs/>
          <w:color w:val="006878"/>
          <w:sz w:val="22"/>
          <w:szCs w:val="22"/>
        </w:rPr>
        <w:t xml:space="preserve">2.2  Regulatory &amp;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800"/>
        <w:gridCol w:w="1826"/>
      </w:tblGrid>
      <w:tr>
        <w:trPr>
          <w:tblHeader/>
        </w:trPr>
        <w:tc>
          <w:tcPr>
            <w:tcW w:type="dxa" w:w="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Document / Artefact</w:t>
            </w:r>
          </w:p>
        </w:tc>
        <w:tc>
          <w:tcPr>
            <w:tcW w:type="dxa" w:w="2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Assessment Purpose</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Typical Source</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Regulatory register or obligations mapping</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Regulatory Reporting — GDPR, NIS, FCA, CAF obligations documented</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DPO / Legal / Compliance</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Data Protection impact assessments (DPIAs) — current register</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Regulatory Reporting — DPIA process maturity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DPO</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Personal data breach log / ICO notifications (last 3 years)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Regulatory Reporting — prior breach history, notification practice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DPO / Legal</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FCA / PRA regulatory correspondence relating to cyber (if applicable)</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Regulatory Reporting — financial services notification history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Compliance / Legal</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DPO advisory opinion or legal counsel guidance on notification thresholds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Regulatory Reporting — threshold criteria formalised</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DPO / Legal</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Incident register or log (last 2 years, redacted as needed)</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Cross-domain — incident volume, classification, resolution data</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Security / SOC / IR team</w:t>
            </w:r>
          </w:p>
        </w:tc>
      </w:tr>
    </w:tbl>
    <w:p>
      <w:pPr>
        <w:spacing w:after="0" w:before="160"/>
      </w:pPr>
      <w:r>
        <w:t xml:space="preserve"/>
      </w:r>
    </w:p>
    <w:p>
      <w:pPr>
        <w:pStyle w:val="Heading3"/>
        <w:spacing w:after="60" w:before="200"/>
      </w:pPr>
      <w:r>
        <w:rPr>
          <w:rFonts w:ascii="Arial" w:cs="Arial" w:eastAsia="Arial" w:hAnsi="Arial"/>
          <w:b/>
          <w:bCs/>
          <w:color w:val="006878"/>
          <w:sz w:val="22"/>
          <w:szCs w:val="22"/>
        </w:rPr>
        <w:t xml:space="preserve">2.3  IR Processes &amp; Playbooks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800"/>
        <w:gridCol w:w="1826"/>
      </w:tblGrid>
      <w:tr>
        <w:trPr>
          <w:tblHeader/>
        </w:trPr>
        <w:tc>
          <w:tcPr>
            <w:tcW w:type="dxa" w:w="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Document / Artefact</w:t>
            </w:r>
          </w:p>
        </w:tc>
        <w:tc>
          <w:tcPr>
            <w:tcW w:type="dxa" w:w="2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Assessment Purpose</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Typical Source</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All available IR playbooks (ransomware, BEC, data exfiltration, insider threat, etc.)</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Capability — playbook coverage and operational readiness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team / Security</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Escalation and notification procedures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Capability / Regulatory Reporting — escalation paths and triggers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Communication templates (internal, regulatory, media, customer)</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Capability — crisis comms readiness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 Legal / Comms</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Crisis management or major incident procedures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Capability — major incident management framework</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Security / BCP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Post-Incident Review (PIR) template</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Learning &amp; Improvement — PIR process existence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Completed PIR reports (last 2–3 years)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Learning &amp; Improvement — PIR execution and quality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Lessons-learned register or remediation tracker</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Learning &amp; Improvement — findings to closure tracking</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 Risk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Forensic evidence collection procedures / chain of custody forms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Capability — forensic readiness and evidence integrity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 DFIR team</w:t>
            </w:r>
          </w:p>
        </w:tc>
      </w:tr>
    </w:tbl>
    <w:p>
      <w:pPr>
        <w:spacing w:after="0" w:before="160"/>
      </w:pPr>
      <w:r>
        <w:t xml:space="preserve"/>
      </w:r>
    </w:p>
    <w:p>
      <w:r>
        <w:br w:type="page"/>
      </w:r>
    </w:p>
    <w:p>
      <w:pPr>
        <w:pStyle w:val="Heading3"/>
        <w:spacing w:after="60" w:before="200"/>
      </w:pPr>
      <w:r>
        <w:rPr>
          <w:rFonts w:ascii="Arial" w:cs="Arial" w:eastAsia="Arial" w:hAnsi="Arial"/>
          <w:b/>
          <w:bCs/>
          <w:color w:val="006878"/>
          <w:sz w:val="22"/>
          <w:szCs w:val="22"/>
        </w:rPr>
        <w:t xml:space="preserve">2.4  People &amp;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800"/>
        <w:gridCol w:w="1826"/>
      </w:tblGrid>
      <w:tr>
        <w:trPr>
          <w:tblHeader/>
        </w:trPr>
        <w:tc>
          <w:tcPr>
            <w:tcW w:type="dxa" w:w="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Document / Artefact</w:t>
            </w:r>
          </w:p>
        </w:tc>
        <w:tc>
          <w:tcPr>
            <w:tcW w:type="dxa" w:w="2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Assessment Purpose</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Typical Source</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IR team org chart and role descriptions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People &amp; Skills — IMT structure, named individuals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Security / HR</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Training records for IR-role staff (CREST, SANS, internal — last 2 years)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People &amp; Skills — training currency and coverage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Security / L&amp;D</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Security awareness training completion metrics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People &amp; Skills — staff awareness programme coverage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Security / HR</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Phishing simulation results (last 12 months)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People &amp; Skills — awareness effectiveness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Security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External IR retainer contract and SLA (if in place)</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People &amp; Skills — external support availability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CISO / Procurement</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Cyber exercise schedule and exercise reports (last 2 years)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Learning &amp; Improvement — exercise frequency, scope and outputs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Security / Risk</w:t>
            </w:r>
          </w:p>
        </w:tc>
      </w:tr>
    </w:tbl>
    <w:p>
      <w:pPr>
        <w:spacing w:after="0" w:before="160"/>
      </w:pPr>
      <w:r>
        <w:t xml:space="preserve"/>
      </w:r>
    </w:p>
    <w:p>
      <w:pPr>
        <w:pStyle w:val="Heading3"/>
        <w:spacing w:after="60" w:before="200"/>
      </w:pPr>
      <w:r>
        <w:rPr>
          <w:rFonts w:ascii="Arial" w:cs="Arial" w:eastAsia="Arial" w:hAnsi="Arial"/>
          <w:b/>
          <w:bCs/>
          <w:color w:val="006878"/>
          <w:sz w:val="22"/>
          <w:szCs w:val="22"/>
        </w:rPr>
        <w:t xml:space="preserve">2.5  Technical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800"/>
        <w:gridCol w:w="1826"/>
      </w:tblGrid>
      <w:tr>
        <w:trPr>
          <w:tblHeader/>
        </w:trPr>
        <w:tc>
          <w:tcPr>
            <w:tcW w:type="dxa" w:w="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Document / Artefact</w:t>
            </w:r>
          </w:p>
        </w:tc>
        <w:tc>
          <w:tcPr>
            <w:tcW w:type="dxa" w:w="2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Assessment Purpose</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Typical Source</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Asset inventory or CMDB extract (hardware, software, cloud)</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 Environment — asset coverage and accuracy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IT / Infrastructure</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Log source inventory and SIEM coverage report</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 &amp; Technical — log coverage across estate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SOC / Security Engineering</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Log retention policy and configuration evidence</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 Environment — retention sufficiency for investigation</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IT / SOC</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EDR/XDR deployment coverage report</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 &amp; Technical — endpoint protection coverage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Security Engineering / IT</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Network architecture diagram (high-level, segmentation focus)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 Environment — segmentation, DMZ, lateral movement controls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Infrastructure / Network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MFA coverage report and conditional access policy</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 Environment — authentication hardening</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Identity / IAM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PAM solution documentation and privileged account inventory</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 Environment — privileged access management</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Identity / IAM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Threat intelligence feed subscriptions and integration documentation</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 &amp; Learning — TI capability and operationalisation</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Security / SOC</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MDR or SOC service description / contract (if outsourced)</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 — SOC/MDR capability scope and SLAs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CISO / Procurement</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Alert triage SLA documentation</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 — triage process and response timelines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SOC lead</w:t>
            </w:r>
          </w:p>
        </w:tc>
      </w:tr>
    </w:tbl>
    <w:p>
      <w:pPr>
        <w:spacing w:after="0" w:before="160"/>
      </w:pPr>
      <w:r>
        <w:t xml:space="preserve"/>
      </w:r>
    </w:p>
    <w:p>
      <w:pPr>
        <w:pStyle w:val="Heading3"/>
        <w:spacing w:after="60" w:before="200"/>
      </w:pPr>
      <w:r>
        <w:rPr>
          <w:rFonts w:ascii="Arial" w:cs="Arial" w:eastAsia="Arial" w:hAnsi="Arial"/>
          <w:b/>
          <w:bCs/>
          <w:color w:val="006878"/>
          <w:sz w:val="22"/>
          <w:szCs w:val="22"/>
        </w:rPr>
        <w:t xml:space="preserve">2.6  Recovery &amp; Business Continuity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800"/>
        <w:gridCol w:w="1826"/>
      </w:tblGrid>
      <w:tr>
        <w:trPr>
          <w:tblHeader/>
        </w:trPr>
        <w:tc>
          <w:tcPr>
            <w:tcW w:type="dxa" w:w="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Document / Artefact</w:t>
            </w:r>
          </w:p>
        </w:tc>
        <w:tc>
          <w:tcPr>
            <w:tcW w:type="dxa" w:w="2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Assessment Purpose</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Typical Source</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Business Continuity Plan (BCP)</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Recovery — BCP existence, scope, cyber scenario coverage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BCP / Risk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Disaster Recovery documentation with RTO/RPO register</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Recovery — recovery targets and system criticality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IT / BCP team</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Backup architecture documentation (including immutable/offline config)</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Recovery — ransomware resilience of backup estate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IT / Infrastructure</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Backup restoration test records (last 2 years)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Recovery — tested recovery capability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IT / Infrastructure</w:t>
            </w:r>
          </w:p>
        </w:tc>
      </w:tr>
      <w:tr>
        <w:tc>
          <w:tcPr>
            <w:tcW w:type="dxa" w:w="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t>
            </w:r>
          </w:p>
        </w:tc>
        <w:tc>
          <w:tcPr>
            <w:tcW w:type="dxa" w:w="3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BCP/DR test or exercise records (last 2 years)</w:t>
            </w:r>
          </w:p>
        </w:tc>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Recovery — continuity capability validation</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BCP / Risk team</w:t>
            </w:r>
          </w:p>
        </w:tc>
      </w:tr>
    </w:tbl>
    <w:p>
      <w:r>
        <w:br w:type="page"/>
      </w:r>
    </w:p>
    <w:p>
      <w:pPr>
        <w:pStyle w:val="Heading1"/>
        <w:pBdr>
          <w:bottom w:val="single" w:color="0069CC" w:sz="6" w:space="4"/>
        </w:pBdr>
        <w:spacing w:after="120" w:before="360"/>
      </w:pPr>
      <w:r>
        <w:rPr>
          <w:rFonts w:ascii="Arial" w:cs="Arial" w:eastAsia="Arial" w:hAnsi="Arial"/>
          <w:b/>
          <w:bCs/>
          <w:color w:val="1B2A4A"/>
          <w:sz w:val="28"/>
          <w:szCs w:val="28"/>
        </w:rPr>
        <w:t xml:space="preserve">3. Stakeholder Interview Schedule</w:t>
      </w:r>
    </w:p>
    <w:p>
      <w:pPr>
        <w:spacing w:after="60" w:before="60"/>
        <w:ind/>
      </w:pPr>
      <w:r>
        <w:rPr>
          <w:rFonts w:ascii="Arial" w:cs="Arial" w:eastAsia="Arial" w:hAnsi="Arial"/>
          <w:i w:val="false"/>
          <w:iCs w:val="false"/>
          <w:color w:val="1A1F2E"/>
          <w:sz w:val="22"/>
          <w:szCs w:val="22"/>
        </w:rPr>
        <w:t xml:space="preserve">The following interviews are required to complete the assessment. Please arrange these sessions in advance of or during the on-site visit. Interviews are typically conducted as one-to-one or small group sessions via video call or in person.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9CC" w:sz="6"/>
              <w:left w:val="none" w:color="FFFFFF" w:sz="0"/>
              <w:bottom w:val="single" w:color="E3E7ED" w:sz="1"/>
              <w:right w:val="none" w:color="FFFFFF" w:sz="0"/>
            </w:tcBorders>
            <w:shd w:fill="F4F6F9" w:val="clear"/>
            <w:tcMar>
              <w:top w:type="dxa" w:w="120"/>
              <w:left w:type="dxa" w:w="160"/>
              <w:bottom w:type="dxa" w:w="120"/>
              <w:right w:type="dxa" w:w="160"/>
            </w:tcMar>
          </w:tcPr>
          <w:p>
            <w:pPr>
              <w:spacing w:after="40" w:before="0"/>
            </w:pPr>
            <w:r>
              <w:rPr>
                <w:rFonts w:ascii="Arial" w:cs="Arial" w:eastAsia="Arial" w:hAnsi="Arial"/>
                <w:b/>
                <w:bCs/>
                <w:color w:val="0069CC"/>
                <w:sz w:val="18"/>
                <w:szCs w:val="18"/>
              </w:rPr>
              <w:t xml:space="preserve">Scheduling guidance</w:t>
            </w:r>
          </w:p>
          <w:p>
            <w:pPr>
              <w:spacing w:after="0" w:before="0"/>
            </w:pPr>
            <w:r>
              <w:rPr>
                <w:rFonts w:ascii="Arial" w:cs="Arial" w:eastAsia="Arial" w:hAnsi="Arial"/>
                <w:color w:val="4A5568"/>
                <w:sz w:val="20"/>
                <w:szCs w:val="20"/>
              </w:rPr>
              <w:t xml:space="preserve">Allow 60–90 minutes per interview. We recommend scheduling the CISO interview first to establish context and obtain any outstanding documents. The DPO and BCP lead are often overlooked — both are essential for the regulatory and recovery domains.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200"/>
        <w:gridCol w:w="3226"/>
      </w:tblGrid>
      <w:tr>
        <w:trPr>
          <w:tblHeader/>
        </w:trPr>
        <w:tc>
          <w:tcPr>
            <w:tcW w:type="dxa" w:w="2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 / Stakeholder</w:t>
            </w:r>
          </w:p>
        </w:tc>
        <w:tc>
          <w:tcPr>
            <w:tcW w:type="dxa" w:w="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Seniority</w:t>
            </w:r>
          </w:p>
        </w:tc>
        <w:tc>
          <w:tcPr>
            <w:tcW w:type="dxa" w:w="22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CISR Domains</w:t>
            </w:r>
          </w:p>
        </w:tc>
        <w:tc>
          <w:tcPr>
            <w:tcW w:type="dxa" w:w="32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Topics</w:t>
            </w:r>
          </w:p>
        </w:tc>
      </w:tr>
      <w:tr>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CISO / Head of Security</w:t>
            </w:r>
          </w:p>
        </w:tc>
        <w:tc>
          <w:tcPr>
            <w:tcW w:type="dxa" w:w="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C-suite / Director</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All domains</w:t>
            </w:r>
          </w:p>
        </w:tc>
        <w:tc>
          <w:tcPr>
            <w:tcW w:type="dxa" w:w="32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IR strategy, governance, exec engagement, tooling decisions, budget, prior incidents and regulatory history</w:t>
            </w:r>
          </w:p>
        </w:tc>
      </w:tr>
      <w:tr>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IR Team Lead / SOC Manager</w:t>
            </w:r>
          </w:p>
        </w:tc>
        <w:tc>
          <w:tcPr>
            <w:tcW w:type="dxa" w:w="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Manager / Senior</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 IR Capability, Learning</w:t>
            </w:r>
          </w:p>
        </w:tc>
        <w:tc>
          <w:tcPr>
            <w:tcW w:type="dxa" w:w="32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Day-to-day IR operations, playbook coverage, detection capability, alert volumes, tooling use, exercise outputs</w:t>
            </w:r>
          </w:p>
        </w:tc>
      </w:tr>
      <w:tr>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Security Analyst (×1–2)</w:t>
            </w:r>
          </w:p>
        </w:tc>
        <w:tc>
          <w:tcPr>
            <w:tcW w:type="dxa" w:w="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Analyst</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 IR Capability</w:t>
            </w:r>
          </w:p>
        </w:tc>
        <w:tc>
          <w:tcPr>
            <w:tcW w:type="dxa" w:w="32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Operational reality of triage and response procedures; how playbooks are actually used in practice vs. how they are documented</w:t>
            </w:r>
          </w:p>
        </w:tc>
      </w:tr>
      <w:tr>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IT / Infrastructure Lead</w:t>
            </w:r>
          </w:p>
        </w:tc>
        <w:tc>
          <w:tcPr>
            <w:tcW w:type="dxa" w:w="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Manager / Lead</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 Environment, Recovery</w:t>
            </w:r>
          </w:p>
        </w:tc>
        <w:tc>
          <w:tcPr>
            <w:tcW w:type="dxa" w:w="32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Asset inventory accuracy, network segmentation, backup architecture, PAM/MFA deployment, log source coverage</w:t>
            </w:r>
          </w:p>
        </w:tc>
      </w:tr>
      <w:tr>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Data Protection Officer (DPO)</w:t>
            </w:r>
          </w:p>
        </w:tc>
        <w:tc>
          <w:tcPr>
            <w:tcW w:type="dxa" w:w="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Manager / Director</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Regulatory Reporting</w:t>
            </w:r>
          </w:p>
        </w:tc>
        <w:tc>
          <w:tcPr>
            <w:tcW w:type="dxa" w:w="32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GDPR breach notification process, ICO reporting history, DPIA register, regulatory obligations mapping, notification thresholds</w:t>
            </w:r>
          </w:p>
        </w:tc>
      </w:tr>
      <w:tr>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Legal / General Counsel</w:t>
            </w:r>
          </w:p>
        </w:tc>
        <w:tc>
          <w:tcPr>
            <w:tcW w:type="dxa" w:w="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Director / Partner</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Regulatory Reporting</w:t>
            </w:r>
          </w:p>
        </w:tc>
        <w:tc>
          <w:tcPr>
            <w:tcW w:type="dxa" w:w="32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Notification thresholds, privilege considerations, regulatory exposure (FCA, NIS, CAF), legal sign-off on IR comms templates</w:t>
            </w:r>
          </w:p>
        </w:tc>
      </w:tr>
      <w:tr>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Compliance / Risk Manager</w:t>
            </w:r>
          </w:p>
        </w:tc>
        <w:tc>
          <w:tcPr>
            <w:tcW w:type="dxa" w:w="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Manager</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Governance, Regulatory Reporting</w:t>
            </w:r>
          </w:p>
        </w:tc>
        <w:tc>
          <w:tcPr>
            <w:tcW w:type="dxa" w:w="32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Regulatory register, audit history, risk register, compliance obligations, gap tracking</w:t>
            </w:r>
          </w:p>
        </w:tc>
      </w:tr>
      <w:tr>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Business Continuity Lead</w:t>
            </w:r>
          </w:p>
        </w:tc>
        <w:tc>
          <w:tcPr>
            <w:tcW w:type="dxa" w:w="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Manager / Senior</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Recovery &amp; BCP</w:t>
            </w:r>
          </w:p>
        </w:tc>
        <w:tc>
          <w:tcPr>
            <w:tcW w:type="dxa" w:w="32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BCP/DR documentation, RTO/RPO ownership, recovery exercise history, cyber scenario coverage in BCP</w:t>
            </w:r>
          </w:p>
        </w:tc>
      </w:tr>
      <w:tr>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IT Service Desk Lead</w:t>
            </w:r>
          </w:p>
        </w:tc>
        <w:tc>
          <w:tcPr>
            <w:tcW w:type="dxa" w:w="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Manager</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Capability</w:t>
            </w:r>
          </w:p>
        </w:tc>
        <w:tc>
          <w:tcPr>
            <w:tcW w:type="dxa" w:w="32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Incident intake and initial triage process, escalation to security team, volume of security-related tickets (optional but useful)</w:t>
            </w:r>
          </w:p>
        </w:tc>
      </w:tr>
      <w:tr>
        <w:tc>
          <w:tcPr>
            <w:tcW w:type="dxa" w:w="2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Executive Sponsor / COO</w:t>
            </w:r>
          </w:p>
        </w:tc>
        <w:tc>
          <w:tcPr>
            <w:tcW w:type="dxa" w:w="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C-suite</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Governance</w:t>
            </w:r>
          </w:p>
        </w:tc>
        <w:tc>
          <w:tcPr>
            <w:tcW w:type="dxa" w:w="32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Board-level cyber engagement, investment appetite, accountability for IR at executive level (30-minute session, optional)</w:t>
            </w:r>
          </w:p>
        </w:tc>
      </w:tr>
    </w:tbl>
    <w:p>
      <w:pPr>
        <w:spacing w:after="0" w:before="160"/>
      </w:pPr>
      <w:r>
        <w:t xml:space="preserve"/>
      </w:r>
    </w:p>
    <w:p>
      <w:pPr>
        <w:pStyle w:val="Heading2"/>
        <w:spacing w:after="80" w:before="280"/>
      </w:pPr>
      <w:r>
        <w:rPr>
          <w:rFonts w:ascii="Arial" w:cs="Arial" w:eastAsia="Arial" w:hAnsi="Arial"/>
          <w:b/>
          <w:bCs/>
          <w:color w:val="1B2A4A"/>
          <w:sz w:val="24"/>
          <w:szCs w:val="24"/>
        </w:rPr>
        <w:t xml:space="preserve">3.1  Interview Logistics</w:t>
      </w:r>
    </w:p>
    <w:p>
      <w:pPr>
        <w:pStyle w:val="ListParagraph"/>
        <w:numPr>
          <w:ilvl w:val="0"/>
          <w:numId w:val="2"/>
        </w:numPr>
        <w:spacing w:after="40" w:before="40"/>
      </w:pPr>
      <w:r>
        <w:rPr>
          <w:rFonts w:ascii="Arial" w:cs="Arial" w:eastAsia="Arial" w:hAnsi="Arial"/>
          <w:color w:val="1A1F2E"/>
          <w:sz w:val="22"/>
          <w:szCs w:val="22"/>
        </w:rPr>
        <w:t xml:space="preserve">Please provide the full name, job title and email address for each interviewee when confirming the schedule</w:t>
      </w:r>
    </w:p>
    <w:p>
      <w:pPr>
        <w:pStyle w:val="ListParagraph"/>
        <w:numPr>
          <w:ilvl w:val="0"/>
          <w:numId w:val="2"/>
        </w:numPr>
        <w:spacing w:after="40" w:before="40"/>
      </w:pPr>
      <w:r>
        <w:rPr>
          <w:rFonts w:ascii="Arial" w:cs="Arial" w:eastAsia="Arial" w:hAnsi="Arial"/>
          <w:color w:val="1A1F2E"/>
          <w:sz w:val="22"/>
          <w:szCs w:val="22"/>
        </w:rPr>
        <w:t xml:space="preserve">Where individuals cover multiple roles, interviews may be combined — please flag this when scheduling</w:t>
      </w:r>
    </w:p>
    <w:p>
      <w:pPr>
        <w:pStyle w:val="ListParagraph"/>
        <w:numPr>
          <w:ilvl w:val="0"/>
          <w:numId w:val="2"/>
        </w:numPr>
        <w:spacing w:after="40" w:before="40"/>
      </w:pPr>
      <w:r>
        <w:rPr>
          <w:rFonts w:ascii="Arial" w:cs="Arial" w:eastAsia="Arial" w:hAnsi="Arial"/>
          <w:color w:val="1A1F2E"/>
          <w:sz w:val="22"/>
          <w:szCs w:val="22"/>
        </w:rPr>
        <w:t xml:space="preserve">Interview notes will be taken by the assessment lead and used solely for the purpose of this assessment</w:t>
      </w:r>
    </w:p>
    <w:p>
      <w:pPr>
        <w:pStyle w:val="ListParagraph"/>
        <w:numPr>
          <w:ilvl w:val="0"/>
          <w:numId w:val="2"/>
        </w:numPr>
        <w:spacing w:after="40" w:before="40"/>
      </w:pPr>
      <w:r>
        <w:rPr>
          <w:rFonts w:ascii="Arial" w:cs="Arial" w:eastAsia="Arial" w:hAnsi="Arial"/>
          <w:color w:val="1A1F2E"/>
          <w:sz w:val="22"/>
          <w:szCs w:val="22"/>
        </w:rPr>
        <w:t xml:space="preserve">Interviewees should be encouraged to speak candidly — gaps and weaknesses are expected and are a normal part of the assessment process</w:t>
      </w:r>
    </w:p>
    <w:p>
      <w:pPr>
        <w:pStyle w:val="ListParagraph"/>
        <w:numPr>
          <w:ilvl w:val="0"/>
          <w:numId w:val="2"/>
        </w:numPr>
        <w:spacing w:after="40" w:before="40"/>
      </w:pPr>
      <w:r>
        <w:rPr>
          <w:rFonts w:ascii="Arial" w:cs="Arial" w:eastAsia="Arial" w:hAnsi="Arial"/>
          <w:color w:val="1A1F2E"/>
          <w:sz w:val="22"/>
          <w:szCs w:val="22"/>
        </w:rPr>
        <w:t xml:space="preserve">Please do not brief interviewees on "correct" answers in advance; authentic responses produce the most useful and actionable findings</w:t>
      </w:r>
    </w:p>
    <w:p>
      <w:r>
        <w:br w:type="page"/>
      </w:r>
    </w:p>
    <w:p>
      <w:pPr>
        <w:pStyle w:val="Heading1"/>
        <w:pBdr>
          <w:bottom w:val="single" w:color="0069CC" w:sz="6" w:space="4"/>
        </w:pBdr>
        <w:spacing w:after="120" w:before="360"/>
      </w:pPr>
      <w:r>
        <w:rPr>
          <w:rFonts w:ascii="Arial" w:cs="Arial" w:eastAsia="Arial" w:hAnsi="Arial"/>
          <w:b/>
          <w:bCs/>
          <w:color w:val="1B2A4A"/>
          <w:sz w:val="28"/>
          <w:szCs w:val="28"/>
        </w:rPr>
        <w:t xml:space="preserve">4. System &amp; Tooling Access Requirements</w:t>
      </w:r>
    </w:p>
    <w:p>
      <w:pPr>
        <w:spacing w:after="60" w:before="60"/>
        <w:ind/>
      </w:pPr>
      <w:r>
        <w:rPr>
          <w:rFonts w:ascii="Arial" w:cs="Arial" w:eastAsia="Arial" w:hAnsi="Arial"/>
          <w:i w:val="false"/>
          <w:iCs w:val="false"/>
          <w:color w:val="1A1F2E"/>
          <w:sz w:val="22"/>
          <w:szCs w:val="22"/>
        </w:rPr>
        <w:t xml:space="preserve">The following system access is required to complete the technical environment and detection domain assessments. In most cases, read-only access or a screenshare walkthrough with the relevant system owner is sufficient — we do not require direct credentials to most platforms.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9CC" w:sz="6"/>
              <w:left w:val="none" w:color="FFFFFF" w:sz="0"/>
              <w:bottom w:val="single" w:color="E3E7ED" w:sz="1"/>
              <w:right w:val="none" w:color="FFFFFF" w:sz="0"/>
            </w:tcBorders>
            <w:shd w:fill="F4F6F9" w:val="clear"/>
            <w:tcMar>
              <w:top w:type="dxa" w:w="120"/>
              <w:left w:type="dxa" w:w="160"/>
              <w:bottom w:type="dxa" w:w="120"/>
              <w:right w:type="dxa" w:w="160"/>
            </w:tcMar>
          </w:tcPr>
          <w:p>
            <w:pPr>
              <w:spacing w:after="40" w:before="0"/>
            </w:pPr>
            <w:r>
              <w:rPr>
                <w:rFonts w:ascii="Arial" w:cs="Arial" w:eastAsia="Arial" w:hAnsi="Arial"/>
                <w:b/>
                <w:bCs/>
                <w:color w:val="0069CC"/>
                <w:sz w:val="18"/>
                <w:szCs w:val="18"/>
              </w:rPr>
              <w:t xml:space="preserve">Access approach</w:t>
            </w:r>
          </w:p>
          <w:p>
            <w:pPr>
              <w:spacing w:after="0" w:before="0"/>
            </w:pPr>
            <w:r>
              <w:rPr>
                <w:rFonts w:ascii="Arial" w:cs="Arial" w:eastAsia="Arial" w:hAnsi="Arial"/>
                <w:color w:val="4A5568"/>
                <w:sz w:val="20"/>
                <w:szCs w:val="20"/>
              </w:rPr>
              <w:t xml:space="preserve">All technical reviews will be conducted with the relevant system owner present. We will not access systems independently and do not require persistent credentials. Screenshare sessions or exported reports/screenshots are preferred where available. Please arrange access requests with IT and agree them with the CISO before the assessment visit.</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1826"/>
      </w:tblGrid>
      <w:tr>
        <w:trPr>
          <w:tblHeader/>
        </w:trPr>
        <w:tc>
          <w:tcPr>
            <w:tcW w:type="dxa" w:w="30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System / Platform</w:t>
            </w:r>
          </w:p>
        </w:tc>
        <w:tc>
          <w:tcPr>
            <w:tcW w:type="dxa" w:w="22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Access Type Required</w:t>
            </w:r>
          </w:p>
        </w:tc>
        <w:tc>
          <w:tcPr>
            <w:tcW w:type="dxa" w:w="20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CISR Domain</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Agreed? / Notes</w:t>
            </w:r>
          </w:p>
        </w:tc>
      </w:tr>
      <w:tr>
        <w:tc>
          <w:tcPr>
            <w:tcW w:type="dxa" w:w="3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SIEM platform (e.g. Splunk, Sentinel, QRadar)</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Read-only / screenshare — log source list, detection rule inventory, coverage dashboard</w:t>
            </w:r>
          </w:p>
        </w:tc>
        <w:tc>
          <w:tcPr>
            <w:tcW w:type="dxa" w:w="2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 &amp; Alerting</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3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EDR / XDR platform (e.g. CrowdStrike, Defender, SentinelOne)</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Coverage report, policy configuration, alert volume metrics — export or screenshare</w:t>
            </w:r>
          </w:p>
        </w:tc>
        <w:tc>
          <w:tcPr>
            <w:tcW w:type="dxa" w:w="2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 &amp; Technical</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3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Ticketing / ITSM (e.g. ServiceNow, Jira, Sentinel tickets)</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Incident log export — volume, classification, resolution times (anonymised/summarised)</w:t>
            </w:r>
          </w:p>
        </w:tc>
        <w:tc>
          <w:tcPr>
            <w:tcW w:type="dxa" w:w="2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Capability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3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Identity platform (e.g. Active Directory, Entra ID, Okta)</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MFA coverage report, admin account inventory, conditional access policy export</w:t>
            </w:r>
          </w:p>
        </w:tc>
        <w:tc>
          <w:tcPr>
            <w:tcW w:type="dxa" w:w="2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 Environment</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3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PAM solution (e.g. CyberArk, BeyondTrust, Delinea)</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Privileged account inventory, access review records — screenshare or report export</w:t>
            </w:r>
          </w:p>
        </w:tc>
        <w:tc>
          <w:tcPr>
            <w:tcW w:type="dxa" w:w="2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 Environment</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3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Backup platform (e.g. Veeam, Commvault, Azure Backup)</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Architecture configuration, retention settings, last restoration test results</w:t>
            </w:r>
          </w:p>
        </w:tc>
        <w:tc>
          <w:tcPr>
            <w:tcW w:type="dxa" w:w="2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Recovery &amp; BCP</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3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Threat intelligence platform (e.g. Recorded Future, MISP, feeds)</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Feed subscriptions, integration configuration — screenshare or documentation</w:t>
            </w:r>
          </w:p>
        </w:tc>
        <w:tc>
          <w:tcPr>
            <w:tcW w:type="dxa" w:w="2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 &amp; Learning</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3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MDR / SOC platform (if outsourced)</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Service reports, coverage dashboards, SLA metrics — via MDR provider or client portal</w:t>
            </w:r>
          </w:p>
        </w:tc>
        <w:tc>
          <w:tcPr>
            <w:tcW w:type="dxa" w:w="2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 &amp; Alerting</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3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Asset management / CMDB</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Coverage report or export — hardware, software, cloud assets</w:t>
            </w:r>
          </w:p>
        </w:tc>
        <w:tc>
          <w:tcPr>
            <w:tcW w:type="dxa" w:w="2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 Environment</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3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Network monitoring / NDR (if in place)</w:t>
            </w:r>
          </w:p>
        </w:tc>
        <w:tc>
          <w:tcPr>
            <w:tcW w:type="dxa" w:w="2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Coverage scope and segmentation view — screenshare or architecture diagram</w:t>
            </w:r>
          </w:p>
        </w:tc>
        <w:tc>
          <w:tcPr>
            <w:tcW w:type="dxa" w:w="20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 Environment</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bl>
    <w:p>
      <w:r>
        <w:br w:type="page"/>
      </w:r>
    </w:p>
    <w:p>
      <w:pPr>
        <w:pStyle w:val="Heading1"/>
        <w:pBdr>
          <w:bottom w:val="single" w:color="0069CC" w:sz="6" w:space="4"/>
        </w:pBdr>
        <w:spacing w:after="120" w:before="360"/>
      </w:pPr>
      <w:r>
        <w:rPr>
          <w:rFonts w:ascii="Arial" w:cs="Arial" w:eastAsia="Arial" w:hAnsi="Arial"/>
          <w:b/>
          <w:bCs/>
          <w:color w:val="1B2A4A"/>
          <w:sz w:val="28"/>
          <w:szCs w:val="28"/>
        </w:rPr>
        <w:t xml:space="preserve">5. Interview Question Bank</w:t>
      </w:r>
    </w:p>
    <w:p>
      <w:pPr>
        <w:spacing w:after="60" w:before="60"/>
        <w:ind/>
      </w:pPr>
      <w:r>
        <w:rPr>
          <w:rFonts w:ascii="Arial" w:cs="Arial" w:eastAsia="Arial" w:hAnsi="Arial"/>
          <w:i w:val="false"/>
          <w:iCs w:val="false"/>
          <w:color w:val="1A1F2E"/>
          <w:sz w:val="22"/>
          <w:szCs w:val="22"/>
        </w:rPr>
        <w:t xml:space="preserve">The following questions will be used across stakeholder interviews. Not all questions will be asked of every interviewee — the assessment lead will select relevant questions based on the stakeholder's role and areas of responsibility. Questions are grouped by CISR domain.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9CC" w:sz="6"/>
              <w:left w:val="none" w:color="FFFFFF" w:sz="0"/>
              <w:bottom w:val="single" w:color="E3E7ED" w:sz="1"/>
              <w:right w:val="none" w:color="FFFFFF" w:sz="0"/>
            </w:tcBorders>
            <w:shd w:fill="F4F6F9" w:val="clear"/>
            <w:tcMar>
              <w:top w:type="dxa" w:w="120"/>
              <w:left w:type="dxa" w:w="160"/>
              <w:bottom w:type="dxa" w:w="120"/>
              <w:right w:type="dxa" w:w="160"/>
            </w:tcMar>
          </w:tcPr>
          <w:p>
            <w:pPr>
              <w:spacing w:after="40" w:before="0"/>
            </w:pPr>
            <w:r>
              <w:rPr>
                <w:rFonts w:ascii="Arial" w:cs="Arial" w:eastAsia="Arial" w:hAnsi="Arial"/>
                <w:b/>
                <w:bCs/>
                <w:color w:val="0069CC"/>
                <w:sz w:val="18"/>
                <w:szCs w:val="18"/>
              </w:rPr>
              <w:t xml:space="preserve">Usage note</w:t>
            </w:r>
          </w:p>
          <w:p>
            <w:pPr>
              <w:spacing w:after="0" w:before="0"/>
            </w:pPr>
            <w:r>
              <w:rPr>
                <w:rFonts w:ascii="Arial" w:cs="Arial" w:eastAsia="Arial" w:hAnsi="Arial"/>
                <w:color w:val="4A5568"/>
                <w:sz w:val="20"/>
                <w:szCs w:val="20"/>
              </w:rPr>
              <w:t xml:space="preserve">This question bank is a working document for the assessment lead. It may also be shared with the client in advance to help interviewees prepare. Questions are open-ended and designed to elicit evidence of capability — there are no "correct" answers.</w:t>
            </w:r>
          </w:p>
        </w:tc>
      </w:tr>
    </w:tbl>
    <w:p>
      <w:pPr>
        <w:spacing w:after="0" w:before="160"/>
      </w:pPr>
      <w:r>
        <w:t xml:space="preserve"/>
      </w:r>
    </w:p>
    <w:p>
      <w:pPr>
        <w:pStyle w:val="Heading3"/>
        <w:spacing w:after="60" w:before="200"/>
      </w:pPr>
      <w:r>
        <w:rPr>
          <w:rFonts w:ascii="Arial" w:cs="Arial" w:eastAsia="Arial" w:hAnsi="Arial"/>
          <w:b/>
          <w:bCs/>
          <w:color w:val="006878"/>
          <w:sz w:val="22"/>
          <w:szCs w:val="22"/>
        </w:rPr>
        <w:t xml:space="preserve">5.1  IR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600"/>
        <w:gridCol w:w="1826"/>
      </w:tblGrid>
      <w:tr>
        <w:trPr>
          <w:tblHeader/>
        </w:trPr>
        <w:tc>
          <w:tcPr>
            <w:tcW w:type="dxa" w:w="4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52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Interview Question</w:t>
            </w:r>
          </w:p>
        </w:tc>
        <w:tc>
          <w:tcPr>
            <w:tcW w:type="dxa" w:w="1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Domain</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Answer / Notes</w:t>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1</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Can you walk me through your Incident Response Policy — how was it developed, who approved it, and when was it last reviewed?</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Governance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2</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How are incidents classified and prioritised? Is there a documented severity framework, and who has authority to declare a major incident?</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Governance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3</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Who owns incident response in your organisation — is there a named CISO or equivalent, and how is IR accountability structured at executive level?</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Governance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4</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How does your IR policy reference your regulatory obligations (GDPR, NIS, FCA/PRA, CAF)? Has legal or compliance reviewed it?</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Governance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5</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Has your board or executive team been directly engaged in cyber incident response — either during a real incident or through an exercise?</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Governance</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bl>
    <w:p>
      <w:pPr>
        <w:spacing w:after="0" w:before="160"/>
      </w:pPr>
      <w:r>
        <w:t xml:space="preserve"/>
      </w:r>
    </w:p>
    <w:p>
      <w:pPr>
        <w:pStyle w:val="Heading3"/>
        <w:spacing w:after="60" w:before="200"/>
      </w:pPr>
      <w:r>
        <w:rPr>
          <w:rFonts w:ascii="Arial" w:cs="Arial" w:eastAsia="Arial" w:hAnsi="Arial"/>
          <w:b/>
          <w:bCs/>
          <w:color w:val="006878"/>
          <w:sz w:val="22"/>
          <w:szCs w:val="22"/>
        </w:rPr>
        <w:t xml:space="preserve">5.2  Detection &amp; Alerting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600"/>
        <w:gridCol w:w="1826"/>
      </w:tblGrid>
      <w:tr>
        <w:trPr>
          <w:tblHeader/>
        </w:trPr>
        <w:tc>
          <w:tcPr>
            <w:tcW w:type="dxa" w:w="4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52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Interview Question</w:t>
            </w:r>
          </w:p>
        </w:tc>
        <w:tc>
          <w:tcPr>
            <w:tcW w:type="dxa" w:w="1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Domain</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Answer / Notes</w:t>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1</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What is your security monitoring arrangement — do you operate an internal SOC, use an MDR provider, or a hybrid? What are the coverage hours?</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2</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How are SIEM detection rules managed — who owns them, how often are they reviewed, and how are they tuned to your specific threat profile?</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3</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What is your EDR coverage across the estate? Are there any gaps — unmanaged endpoints, legacy systems, OT or cloud workloads?</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4</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What does your alert triage process look like? Is there a documented SLA for analyst response, and how are false positives managed?</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5</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Do you consume threat intelligence? If so, how is it operationalised — is it integrated into your SIEM or EDR, and how are IOCs acted upon?</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6</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Can you describe a recent alert that escalated into an incident — how was it detected, triaged and handed over for investigation?</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Detection</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bl>
    <w:p>
      <w:pPr>
        <w:spacing w:after="0" w:before="160"/>
      </w:pPr>
      <w:r>
        <w:t xml:space="preserve"/>
      </w:r>
    </w:p>
    <w:p>
      <w:r>
        <w:br w:type="page"/>
      </w:r>
    </w:p>
    <w:p>
      <w:pPr>
        <w:pStyle w:val="Heading3"/>
        <w:spacing w:after="60" w:before="200"/>
      </w:pPr>
      <w:r>
        <w:rPr>
          <w:rFonts w:ascii="Arial" w:cs="Arial" w:eastAsia="Arial" w:hAnsi="Arial"/>
          <w:b/>
          <w:bCs/>
          <w:color w:val="006878"/>
          <w:sz w:val="22"/>
          <w:szCs w:val="22"/>
        </w:rPr>
        <w:t xml:space="preserve">5.3  IR Capability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600"/>
        <w:gridCol w:w="1826"/>
      </w:tblGrid>
      <w:tr>
        <w:trPr>
          <w:tblHeader/>
        </w:trPr>
        <w:tc>
          <w:tcPr>
            <w:tcW w:type="dxa" w:w="4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52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Interview Question</w:t>
            </w:r>
          </w:p>
        </w:tc>
        <w:tc>
          <w:tcPr>
            <w:tcW w:type="dxa" w:w="1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Domain</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Answer / Notes</w:t>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1</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What IR playbooks do you have in place? Which scenario types are covered, and when were they last updated or tested?</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Capability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2</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Do you have a defined Incident Management Team? Who sits on it, what are their roles, and how would they be mobilised at 2am on a Sunday?</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Capability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3</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How quickly can you contain a compromised endpoint or account — is there a documented containment procedure and what tooling supports it?</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Capability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4</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What is your forensic capability? Do you have tooling for memory acquisition, disk imaging and log analysis, and who is trained to use it?</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Capability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5</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Are forensic evidence collection and chain of custody procedures documented? Have they been followed in a real or simulated incident?</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Capability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6</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How would you communicate during a major incident — internally, to customers and to regulators? Are templates prepared in advance?</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IR Capability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bl>
    <w:p>
      <w:pPr>
        <w:spacing w:after="0" w:before="160"/>
      </w:pPr>
      <w:r>
        <w:t xml:space="preserve"/>
      </w:r>
    </w:p>
    <w:p>
      <w:pPr>
        <w:pStyle w:val="Heading3"/>
        <w:spacing w:after="60" w:before="200"/>
      </w:pPr>
      <w:r>
        <w:rPr>
          <w:rFonts w:ascii="Arial" w:cs="Arial" w:eastAsia="Arial" w:hAnsi="Arial"/>
          <w:b/>
          <w:bCs/>
          <w:color w:val="006878"/>
          <w:sz w:val="22"/>
          <w:szCs w:val="22"/>
        </w:rPr>
        <w:t xml:space="preserve">5.4  Regulatory Reporting &amp; Notification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600"/>
        <w:gridCol w:w="1826"/>
      </w:tblGrid>
      <w:tr>
        <w:trPr>
          <w:tblHeader/>
        </w:trPr>
        <w:tc>
          <w:tcPr>
            <w:tcW w:type="dxa" w:w="4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52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Interview Question</w:t>
            </w:r>
          </w:p>
        </w:tc>
        <w:tc>
          <w:tcPr>
            <w:tcW w:type="dxa" w:w="1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Domain</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Answer / Notes</w:t>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1</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What regulatory notification obligations are you subject to — GDPR, NIS, FCA, CAF, or others? Are these formally documented and mapped to your IR procedures?</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Regulatory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2</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How do you assess whether a security incident constitutes a notifiable personal data breach? Is there a decision framework, and who is involved?</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Regulatory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3</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Are regulatory notification timelines (e.g. 72 hours to the ICO, FCA notifications) captured in your IR playbooks or procedures?</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Regulatory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4</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Do you have templates prepared for notifying the ICO, FCA, NCSC or sector-specific regulators? Have they been reviewed by legal?</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Regulatory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5</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Have you ever made a regulatory notification following a security incident? What did that process look like in practice?</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Regulatory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6</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Is there a central register of all incidents, near-misses and regulatory notifications? Who maintains it and what does it capture?</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Regulatory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bl>
    <w:p>
      <w:pPr>
        <w:spacing w:after="0" w:before="160"/>
      </w:pPr>
      <w:r>
        <w:t xml:space="preserve"/>
      </w:r>
    </w:p>
    <w:p>
      <w:r>
        <w:br w:type="page"/>
      </w:r>
    </w:p>
    <w:p>
      <w:pPr>
        <w:pStyle w:val="Heading3"/>
        <w:spacing w:after="60" w:before="200"/>
      </w:pPr>
      <w:r>
        <w:rPr>
          <w:rFonts w:ascii="Arial" w:cs="Arial" w:eastAsia="Arial" w:hAnsi="Arial"/>
          <w:b/>
          <w:bCs/>
          <w:color w:val="006878"/>
          <w:sz w:val="22"/>
          <w:szCs w:val="22"/>
        </w:rPr>
        <w:t xml:space="preserve">5.5  People, Skills &amp;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600"/>
        <w:gridCol w:w="1826"/>
      </w:tblGrid>
      <w:tr>
        <w:trPr>
          <w:tblHeader/>
        </w:trPr>
        <w:tc>
          <w:tcPr>
            <w:tcW w:type="dxa" w:w="4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52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Interview Question</w:t>
            </w:r>
          </w:p>
        </w:tc>
        <w:tc>
          <w:tcPr>
            <w:tcW w:type="dxa" w:w="1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Domain</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Answer / Notes</w:t>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1</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What formal training have your IR-role staff completed in the last 12 months? Are there any certifications (CREST, SANS, etc.) in the team?</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People &amp; Skills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2</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How is cyber security awareness delivered to all staff? What are your completion rates, and do you run phishing simulations?</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People &amp; Skills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3</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Who can act as Incident Manager during a major incident? Are there backups, and how recently were they trained for the role?</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People &amp; Skills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4</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Do you have an external IR retainer in place? What does it cover, what is the SLA for mobilisation, and has it ever been activated?</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People &amp; Skills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5</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What happens to your team during a prolonged incident — is there a rotation plan, and how do you manage staff welfare?</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People &amp; Skills</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bl>
    <w:p>
      <w:pPr>
        <w:spacing w:after="0" w:before="160"/>
      </w:pPr>
      <w:r>
        <w:t xml:space="preserve"/>
      </w:r>
    </w:p>
    <w:p>
      <w:pPr>
        <w:pStyle w:val="Heading3"/>
        <w:spacing w:after="60" w:before="200"/>
      </w:pPr>
      <w:r>
        <w:rPr>
          <w:rFonts w:ascii="Arial" w:cs="Arial" w:eastAsia="Arial" w:hAnsi="Arial"/>
          <w:b/>
          <w:bCs/>
          <w:color w:val="006878"/>
          <w:sz w:val="22"/>
          <w:szCs w:val="22"/>
        </w:rPr>
        <w:t xml:space="preserve">5.6  Technical Environment &amp; Tooling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600"/>
        <w:gridCol w:w="1826"/>
      </w:tblGrid>
      <w:tr>
        <w:trPr>
          <w:tblHeader/>
        </w:trPr>
        <w:tc>
          <w:tcPr>
            <w:tcW w:type="dxa" w:w="4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52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Interview Question</w:t>
            </w:r>
          </w:p>
        </w:tc>
        <w:tc>
          <w:tcPr>
            <w:tcW w:type="dxa" w:w="1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Domain</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Answer / Notes</w:t>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1</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How accurate and current is your asset inventory? Does it cover cloud workloads, shadow IT and third-party managed devices?</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2</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Which systems are you logging centrally? Are there any known gaps — particularly in cloud, OT or legacy environments?</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3</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How long are logs retained? Is that retention period sufficient for investigation purposes, and does it meet your regulatory requirements?</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4</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How is your network segmented? Could an attacker move laterally from a compromised endpoint to your crown jewels without being stopped?</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5</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How are privileged accounts managed? Is there a PAM solution in place, and how frequently are privileged access reviews conducted?</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6</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Where is MFA enforced? Are there any admin accounts, remote access paths or critical applications that are MFA-exempt?</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Technical</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bl>
    <w:p>
      <w:pPr>
        <w:spacing w:after="0" w:before="160"/>
      </w:pPr>
      <w:r>
        <w:t xml:space="preserve"/>
      </w:r>
    </w:p>
    <w:p>
      <w:r>
        <w:br w:type="page"/>
      </w:r>
    </w:p>
    <w:p>
      <w:pPr>
        <w:pStyle w:val="Heading3"/>
        <w:spacing w:after="60" w:before="200"/>
      </w:pPr>
      <w:r>
        <w:rPr>
          <w:rFonts w:ascii="Arial" w:cs="Arial" w:eastAsia="Arial" w:hAnsi="Arial"/>
          <w:b/>
          <w:bCs/>
          <w:color w:val="006878"/>
          <w:sz w:val="22"/>
          <w:szCs w:val="22"/>
        </w:rPr>
        <w:t xml:space="preserve">5.7  Recovery &amp; Business Continuity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600"/>
        <w:gridCol w:w="1826"/>
      </w:tblGrid>
      <w:tr>
        <w:trPr>
          <w:tblHeader/>
        </w:trPr>
        <w:tc>
          <w:tcPr>
            <w:tcW w:type="dxa" w:w="4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52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Interview Question</w:t>
            </w:r>
          </w:p>
        </w:tc>
        <w:tc>
          <w:tcPr>
            <w:tcW w:type="dxa" w:w="1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Domain</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Answer / Notes</w:t>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1</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What are your RTO and RPO targets for critical systems? Are these formally documented and known to the teams responsible for recovery?</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Recovery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2</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How are your backups stored? Are any copies held offline or in an immutable environment that a ransomware attack could not reach?</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Recovery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3</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When did you last test restoring from backup? What systems were included, how long did it take, and were there any issues?</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Recovery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4</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Does your Business Continuity Plan specifically address cyber incident scenarios? How would the business continue to operate if your primary systems were offline for a week?</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Recovery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5</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Have your recovery procedures been exercised — tabletop, walkthrough or live test? What were the key findings, and have they been addressed?</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Recovery</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bl>
    <w:p>
      <w:pPr>
        <w:spacing w:after="0" w:before="160"/>
      </w:pPr>
      <w:r>
        <w:t xml:space="preserve"/>
      </w:r>
    </w:p>
    <w:p>
      <w:pPr>
        <w:pStyle w:val="Heading3"/>
        <w:spacing w:after="60" w:before="200"/>
      </w:pPr>
      <w:r>
        <w:rPr>
          <w:rFonts w:ascii="Arial" w:cs="Arial" w:eastAsia="Arial" w:hAnsi="Arial"/>
          <w:b/>
          <w:bCs/>
          <w:color w:val="006878"/>
          <w:sz w:val="22"/>
          <w:szCs w:val="22"/>
        </w:rPr>
        <w:t xml:space="preserve">5.8  Learning &amp; Continuous Improvement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600"/>
        <w:gridCol w:w="1826"/>
      </w:tblGrid>
      <w:tr>
        <w:trPr>
          <w:tblHeader/>
        </w:trPr>
        <w:tc>
          <w:tcPr>
            <w:tcW w:type="dxa" w:w="4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52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Interview Question</w:t>
            </w:r>
          </w:p>
        </w:tc>
        <w:tc>
          <w:tcPr>
            <w:tcW w:type="dxa" w:w="1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Domain</w:t>
            </w:r>
          </w:p>
        </w:tc>
        <w:tc>
          <w:tcPr>
            <w:tcW w:type="dxa" w:w="18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Answer / Notes</w:t>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1</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What does your Post-Incident Review process look like? Who is involved, what format does it follow, and what happens to the action items?</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Learning</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2</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How are findings from incidents and exercises tracked to closure? Is there a formal remediation register, and who has oversight of it?</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Learning</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3</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When a lesson is identified from an incident, how does it make its way into your playbooks or procedures? Can you give a recent example?</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Learning</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4</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What does your cyber exercise programme look like? How often do you exercise, what scenarios do you use, and who participates?</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Learning</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r>
        <w:tc>
          <w:tcPr>
            <w:tcW w:type="dxa" w:w="4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5</w:t>
            </w:r>
          </w:p>
        </w:tc>
        <w:tc>
          <w:tcPr>
            <w:tcW w:type="dxa" w:w="52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How do you use threat intelligence to improve your defences? Are TI findings feeding into detection rule updates and procedure changes?</w:t>
            </w:r>
          </w:p>
        </w:tc>
        <w:tc>
          <w:tcPr>
            <w:tcW w:type="dxa" w:w="1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Learning</w:t>
            </w:r>
          </w:p>
        </w:tc>
        <w:tc>
          <w:tcPr>
            <w:tcW w:type="dxa" w:w="18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
            </w:r>
          </w:p>
        </w:tc>
      </w:tr>
    </w:tbl>
    <w:p>
      <w:r>
        <w:br w:type="page"/>
      </w:r>
    </w:p>
    <w:p>
      <w:pPr>
        <w:pStyle w:val="Heading1"/>
        <w:pBdr>
          <w:bottom w:val="single" w:color="0069CC" w:sz="6" w:space="4"/>
        </w:pBdr>
        <w:spacing w:after="120" w:before="360"/>
      </w:pPr>
      <w:r>
        <w:rPr>
          <w:rFonts w:ascii="Arial" w:cs="Arial" w:eastAsia="Arial" w:hAnsi="Arial"/>
          <w:b/>
          <w:bCs/>
          <w:color w:val="1B2A4A"/>
          <w:sz w:val="28"/>
          <w:szCs w:val="28"/>
        </w:rPr>
        <w:t xml:space="preserve">Appendix A: CISR Domain Summary</w:t>
      </w:r>
    </w:p>
    <w:p>
      <w:pPr>
        <w:spacing w:after="60" w:before="60"/>
        <w:ind/>
      </w:pPr>
      <w:r>
        <w:rPr>
          <w:rFonts w:ascii="Arial" w:cs="Arial" w:eastAsia="Arial" w:hAnsi="Arial"/>
          <w:i w:val="false"/>
          <w:iCs w:val="false"/>
          <w:color w:val="1A1F2E"/>
          <w:sz w:val="22"/>
          <w:szCs w:val="22"/>
        </w:rPr>
        <w:t xml:space="preserve">The table below provides a brief description of each CISR domain assessed and its primary focus area.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526"/>
      </w:tblGrid>
      <w:tr>
        <w:trPr>
          <w:tblHeader/>
        </w:trPr>
        <w:tc>
          <w:tcPr>
            <w:tcW w:type="dxa" w:w="26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Domain</w:t>
            </w:r>
          </w:p>
        </w:tc>
        <w:tc>
          <w:tcPr>
            <w:tcW w:type="dxa" w:w="9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Ref</w:t>
            </w:r>
          </w:p>
        </w:tc>
        <w:tc>
          <w:tcPr>
            <w:tcW w:type="dxa" w:w="55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IR Governance</w:t>
            </w:r>
          </w:p>
        </w:tc>
        <w:tc>
          <w:tcPr>
            <w:tcW w:type="dxa" w:w="9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D1</w:t>
            </w:r>
          </w:p>
        </w:tc>
        <w:tc>
          <w:tcPr>
            <w:tcW w:type="dxa" w:w="55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IR policy framework, executive mandate, incident classification, RACI and regulatory alignment</w:t>
            </w:r>
          </w:p>
        </w:tc>
      </w:tr>
      <w:tr>
        <w:tc>
          <w:tcPr>
            <w:tcW w:type="dxa" w:w="2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Detection &amp; Alerting</w:t>
            </w:r>
          </w:p>
        </w:tc>
        <w:tc>
          <w:tcPr>
            <w:tcW w:type="dxa" w:w="9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D2</w:t>
            </w:r>
          </w:p>
        </w:tc>
        <w:tc>
          <w:tcPr>
            <w:tcW w:type="dxa" w:w="55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SOC/MDR capability, SIEM and EDR coverage, alert triage, TI integration and detection effectiveness</w:t>
            </w:r>
          </w:p>
        </w:tc>
      </w:tr>
      <w:tr>
        <w:tc>
          <w:tcPr>
            <w:tcW w:type="dxa" w:w="2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IR Capability</w:t>
            </w:r>
          </w:p>
        </w:tc>
        <w:tc>
          <w:tcPr>
            <w:tcW w:type="dxa" w:w="9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D3</w:t>
            </w:r>
          </w:p>
        </w:tc>
        <w:tc>
          <w:tcPr>
            <w:tcW w:type="dxa" w:w="55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Playbook coverage, IMT structure, containment procedures, forensic tooling and crisis communications</w:t>
            </w:r>
          </w:p>
        </w:tc>
      </w:tr>
      <w:tr>
        <w:tc>
          <w:tcPr>
            <w:tcW w:type="dxa" w:w="2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Regulatory Reporting</w:t>
            </w:r>
          </w:p>
        </w:tc>
        <w:tc>
          <w:tcPr>
            <w:tcW w:type="dxa" w:w="9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D4</w:t>
            </w:r>
          </w:p>
        </w:tc>
        <w:tc>
          <w:tcPr>
            <w:tcW w:type="dxa" w:w="55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Notification obligations under GDPR, NIS, FCA and CAF; breach assessment process and regulator templates</w:t>
            </w:r>
          </w:p>
        </w:tc>
      </w:tr>
      <w:tr>
        <w:tc>
          <w:tcPr>
            <w:tcW w:type="dxa" w:w="2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People, Skills &amp; Training</w:t>
            </w:r>
          </w:p>
        </w:tc>
        <w:tc>
          <w:tcPr>
            <w:tcW w:type="dxa" w:w="9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D5</w:t>
            </w:r>
          </w:p>
        </w:tc>
        <w:tc>
          <w:tcPr>
            <w:tcW w:type="dxa" w:w="55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Staff training currency, awareness programme, Incident Manager capability and external retainer readiness</w:t>
            </w:r>
          </w:p>
        </w:tc>
      </w:tr>
      <w:tr>
        <w:tc>
          <w:tcPr>
            <w:tcW w:type="dxa" w:w="2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Technical Environment</w:t>
            </w:r>
          </w:p>
        </w:tc>
        <w:tc>
          <w:tcPr>
            <w:tcW w:type="dxa" w:w="9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D6</w:t>
            </w:r>
          </w:p>
        </w:tc>
        <w:tc>
          <w:tcPr>
            <w:tcW w:type="dxa" w:w="55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Asset inventory, log coverage and retention, network segmentation, PAM and MFA implementation</w:t>
            </w:r>
          </w:p>
        </w:tc>
      </w:tr>
      <w:tr>
        <w:tc>
          <w:tcPr>
            <w:tcW w:type="dxa" w:w="2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Recovery &amp; BCP</w:t>
            </w:r>
          </w:p>
        </w:tc>
        <w:tc>
          <w:tcPr>
            <w:tcW w:type="dxa" w:w="9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D7</w:t>
            </w:r>
          </w:p>
        </w:tc>
        <w:tc>
          <w:tcPr>
            <w:tcW w:type="dxa" w:w="55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RTO/RPO targets, backup resilience, restoration testing and BCP coverage of cyber scenarios</w:t>
            </w:r>
          </w:p>
        </w:tc>
      </w:tr>
      <w:tr>
        <w:tc>
          <w:tcPr>
            <w:tcW w:type="dxa" w:w="26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Learning &amp; Improvement</w:t>
            </w:r>
          </w:p>
        </w:tc>
        <w:tc>
          <w:tcPr>
            <w:tcW w:type="dxa" w:w="9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4A5568"/>
                <w:sz w:val="20"/>
                <w:szCs w:val="20"/>
              </w:rPr>
              <w:t xml:space="preserve">D8</w:t>
            </w:r>
          </w:p>
        </w:tc>
        <w:tc>
          <w:tcPr>
            <w:tcW w:type="dxa" w:w="55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PIR process, lessons-learned integration, remediation tracking and exercise programme effectiveness</w:t>
            </w:r>
          </w:p>
        </w:tc>
      </w:tr>
    </w:tbl>
    <w:p>
      <w:pPr>
        <w:spacing w:after="0" w:before="160"/>
      </w:pPr>
      <w:r>
        <w:t xml:space="preserve"/>
      </w:r>
    </w:p>
    <w:p>
      <w:pPr>
        <w:pStyle w:val="Heading1"/>
        <w:pBdr>
          <w:bottom w:val="single" w:color="0069CC" w:sz="6" w:space="4"/>
        </w:pBdr>
        <w:spacing w:after="120" w:before="360"/>
      </w:pPr>
      <w:r>
        <w:rPr>
          <w:rFonts w:ascii="Arial" w:cs="Arial" w:eastAsia="Arial" w:hAnsi="Arial"/>
          <w:b/>
          <w:bCs/>
          <w:color w:val="1B2A4A"/>
          <w:sz w:val="28"/>
          <w:szCs w:val="28"/>
        </w:rPr>
        <w:t xml:space="preserve">Appendix B: Maturity Scale Reference</w:t>
      </w:r>
    </w:p>
    <w:p>
      <w:pPr>
        <w:spacing w:after="60" w:before="60"/>
        <w:ind/>
      </w:pPr>
      <w:r>
        <w:rPr>
          <w:rFonts w:ascii="Arial" w:cs="Arial" w:eastAsia="Arial" w:hAnsi="Arial"/>
          <w:i w:val="false"/>
          <w:iCs w:val="false"/>
          <w:color w:val="1A1F2E"/>
          <w:sz w:val="22"/>
          <w:szCs w:val="22"/>
        </w:rPr>
        <w:t xml:space="preserve">The following maturity scale is used to score each assessment indicator: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526"/>
      </w:tblGrid>
      <w:tr>
        <w:trPr>
          <w:tblHeader/>
        </w:trPr>
        <w:tc>
          <w:tcPr>
            <w:tcW w:type="dxa" w:w="7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1800"/>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Level</w:t>
            </w:r>
          </w:p>
        </w:tc>
        <w:tc>
          <w:tcPr>
            <w:tcW w:type="dxa" w:w="6526"/>
            <w:tcBorders>
              <w:top w:val="single" w:color="E3E7ED" w:sz="1"/>
              <w:left w:val="single" w:color="E3E7ED" w:sz="1"/>
              <w:bottom w:val="single" w:color="E3E7ED" w:sz="1"/>
              <w:right w:val="single" w:color="E3E7ED"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7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0</w:t>
            </w:r>
          </w:p>
        </w:tc>
        <w:tc>
          <w:tcPr>
            <w:tcW w:type="dxa" w:w="1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Initial</w:t>
            </w:r>
          </w:p>
        </w:tc>
        <w:tc>
          <w:tcPr>
            <w:tcW w:type="dxa" w:w="65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No documented capability exists. Response, if any, is entirely reactive and undocumented.</w:t>
            </w:r>
          </w:p>
        </w:tc>
      </w:tr>
      <w:tr>
        <w:tc>
          <w:tcPr>
            <w:tcW w:type="dxa" w:w="7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1</w:t>
            </w:r>
          </w:p>
        </w:tc>
        <w:tc>
          <w:tcPr>
            <w:tcW w:type="dxa" w:w="1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Developing</w:t>
            </w:r>
          </w:p>
        </w:tc>
        <w:tc>
          <w:tcPr>
            <w:tcW w:type="dxa" w:w="65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Some capability exists but is ad-hoc, inconsistent and relies on individual knowledge rather than documented process.</w:t>
            </w:r>
          </w:p>
        </w:tc>
      </w:tr>
      <w:tr>
        <w:tc>
          <w:tcPr>
            <w:tcW w:type="dxa" w:w="7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2</w:t>
            </w:r>
          </w:p>
        </w:tc>
        <w:tc>
          <w:tcPr>
            <w:tcW w:type="dxa" w:w="1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Defined</w:t>
            </w:r>
          </w:p>
        </w:tc>
        <w:tc>
          <w:tcPr>
            <w:tcW w:type="dxa" w:w="65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Processes are documented but inconsistently applied, not regularly tested, or lacking formal ownership.</w:t>
            </w:r>
          </w:p>
        </w:tc>
      </w:tr>
      <w:tr>
        <w:tc>
          <w:tcPr>
            <w:tcW w:type="dxa" w:w="7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3</w:t>
            </w:r>
          </w:p>
        </w:tc>
        <w:tc>
          <w:tcPr>
            <w:tcW w:type="dxa" w:w="1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Managed</w:t>
            </w:r>
          </w:p>
        </w:tc>
        <w:tc>
          <w:tcPr>
            <w:tcW w:type="dxa" w:w="65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Defined, consistently applied and measured processes. Evidence of testing, review and management oversight.</w:t>
            </w:r>
          </w:p>
        </w:tc>
      </w:tr>
      <w:tr>
        <w:tc>
          <w:tcPr>
            <w:tcW w:type="dxa" w:w="7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4</w:t>
            </w:r>
          </w:p>
        </w:tc>
        <w:tc>
          <w:tcPr>
            <w:tcW w:type="dxa" w:w="1800"/>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bCs/>
                <w:i w:val="false"/>
                <w:iCs w:val="false"/>
                <w:color w:val="1A1F2E"/>
                <w:sz w:val="20"/>
                <w:szCs w:val="20"/>
              </w:rPr>
              <w:t xml:space="preserve">Optimised</w:t>
            </w:r>
          </w:p>
        </w:tc>
        <w:tc>
          <w:tcPr>
            <w:tcW w:type="dxa" w:w="6526"/>
            <w:tcBorders>
              <w:top w:val="single" w:color="E3E7ED" w:sz="1"/>
              <w:left w:val="single" w:color="E3E7ED" w:sz="1"/>
              <w:bottom w:val="single" w:color="E3E7ED" w:sz="1"/>
              <w:right w:val="single" w:color="E3E7ED" w:sz="1"/>
            </w:tcBorders>
            <w:tcMar>
              <w:top w:type="dxa" w:w="80"/>
              <w:left w:type="dxa" w:w="120"/>
              <w:bottom w:type="dxa" w:w="80"/>
              <w:right w:type="dxa" w:w="120"/>
            </w:tcMar>
          </w:tcPr>
          <w:p>
            <w:r>
              <w:rPr>
                <w:rFonts w:ascii="Arial" w:cs="Arial" w:eastAsia="Arial" w:hAnsi="Arial"/>
                <w:b w:val="false"/>
                <w:bCs w:val="false"/>
                <w:i w:val="false"/>
                <w:iCs w:val="false"/>
                <w:color w:val="1A1F2E"/>
                <w:sz w:val="20"/>
                <w:szCs w:val="20"/>
              </w:rPr>
              <w:t xml:space="preserve">Continuously improved, threat-informed capability. Leading practice with metrics, integration and proactive enhancement.</w:t>
            </w:r>
          </w:p>
        </w:tc>
      </w:tr>
    </w:tbl>
    <w:p>
      <w:pPr>
        <w:spacing w:after="0" w:before="200"/>
      </w:pPr>
      <w:r>
        <w:t xml:space="preserve"/>
      </w:r>
    </w:p>
    <w:p>
      <w:pPr>
        <w:pBdr>
          <w:bottom w:val="single" w:color="E3E7ED" w:sz="4"/>
        </w:pBdr>
        <w:spacing w:after="160" w:before="0"/>
      </w:pPr>
      <w:r>
        <w:t xml:space="preserve"/>
      </w:r>
    </w:p>
    <w:p>
      <w:pPr>
        <w:spacing w:after="0" w:before="0"/>
      </w:pPr>
      <w:r>
        <w:rPr>
          <w:rFonts w:ascii="Arial" w:cs="Arial" w:eastAsia="Arial" w:hAnsi="Arial"/>
          <w:i/>
          <w:iCs/>
          <w:color w:val="4A5568"/>
          <w:sz w:val="16"/>
          <w:szCs w:val="16"/>
        </w:rPr>
        <w:t xml:space="preserve">CREST CISR Maturity Assessment — Pre-Engagement Pack</w:t>
      </w:r>
      <w:r>
        <w:rPr>
          <w:rFonts w:ascii="Arial" w:cs="Arial" w:eastAsia="Arial" w:hAnsi="Arial"/>
          <w:color w:val="E3E7ED"/>
          <w:sz w:val="16"/>
          <w:szCs w:val="16"/>
        </w:rPr>
        <w:t xml:space="preserve">     |     </w:t>
      </w:r>
      <w:r>
        <w:rPr>
          <w:rFonts w:ascii="Arial" w:cs="Arial" w:eastAsia="Arial" w:hAnsi="Arial"/>
          <w:i/>
          <w:iCs/>
          <w:color w:val="4A5568"/>
          <w:sz w:val="16"/>
          <w:szCs w:val="16"/>
        </w:rPr>
        <w:t xml:space="preserve">For professional use only. Do not distribute externally without client consent.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7ED" w:sz="4" w:space="4"/>
      </w:pBdr>
      <w:tabs>
        <w:tab w:val="right" w:pos="9026"/>
      </w:tabs>
      <w:spacing w:after="0" w:before="120"/>
    </w:pPr>
    <w:r>
      <w:rPr>
        <w:rFonts w:ascii="Arial" w:cs="Arial" w:eastAsia="Arial" w:hAnsi="Arial"/>
        <w:i/>
        <w:iCs/>
        <w:color w:val="4A5568"/>
        <w:sz w:val="16"/>
        <w:szCs w:val="16"/>
      </w:rPr>
      <w:t xml:space="preserve">Confidential — Not for external distribution</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7ED" w:sz="4" w:space="4"/>
      </w:pBdr>
      <w:spacing w:after="120" w:before="0"/>
    </w:pPr>
    <w:r>
      <w:rPr>
        <w:rFonts w:ascii="Arial" w:cs="Arial" w:eastAsia="Arial" w:hAnsi="Arial"/>
        <w:color w:val="4A5568"/>
        <w:sz w:val="16"/>
        <w:szCs w:val="16"/>
      </w:rPr>
      <w:t xml:space="preserve">CREST CISR Maturity Assessment  —  Pre-Engagement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B2A4A"/>
      <w:sz w:val="24"/>
      <w:szCs w:val="24"/>
    </w:rPr>
  </w:style>
  <w:style w:type="paragraph" w:styleId="Heading3">
    <w:name w:val="Heading 3"/>
    <w:basedOn w:val="Normal"/>
    <w:next w:val="Normal"/>
    <w:qFormat/>
    <w:pPr>
      <w:spacing w:after="60" w:before="200"/>
      <w:outlineLvl w:val="2"/>
    </w:pPr>
    <w:rPr>
      <w:rFonts w:ascii="Arial" w:cs="Arial" w:eastAsia="Arial" w:hAnsi="Arial"/>
      <w:b/>
      <w:bCs/>
      <w:color w:val="0068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2026-04-10T11:27:57.950Z</dcterms:created>
  <dcterms:modified xsi:type="dcterms:W3CDTF">2026-04-10T11:27:57.951Z</dcterms:modified>
</cp:coreProperties>
</file>

<file path=docProps/custom.xml><?xml version="1.0" encoding="utf-8"?>
<Properties xmlns="http://schemas.openxmlformats.org/officeDocument/2006/custom-properties" xmlns:vt="http://schemas.openxmlformats.org/officeDocument/2006/docPropsVTypes"/>
</file>