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A4A" w:sz="12"/>
              <w:left w:val="single" w:color="1A2A4A" w:sz="12"/>
              <w:bottom w:val="single" w:color="1A2A4A" w:sz="12"/>
              <w:right w:val="single" w:color="1A2A4A" w:sz="12"/>
            </w:tcBorders>
            <w:shd w:fill="1A2A4A" w:val="clear"/>
            <w:tcMar>
              <w:top w:type="dxa" w:w="700"/>
              <w:left w:type="dxa" w:w="500"/>
              <w:bottom w:type="dxa" w:w="700"/>
              <w:right w:type="dxa" w:w="500"/>
            </w:tcMar>
          </w:tcPr>
          <w:p>
            <w:pPr>
              <w:spacing w:before="0" w:after="60"/>
              <w:jc w:val="center"/>
            </w:pPr>
            <w:r>
              <w:rPr>
                <w:rFonts w:ascii="Arial" w:cs="Arial" w:eastAsia="Arial" w:hAnsi="Arial"/>
                <w:b/>
                <w:bCs/>
                <w:color w:val="FFFFFF"/>
                <w:sz w:val="52"/>
                <w:szCs w:val="52"/>
              </w:rPr>
              <w:t xml:space="preserve">DIGITAL FORENSICS &amp;</w:t>
            </w:r>
          </w:p>
          <w:p>
            <w:pPr>
              <w:spacing w:before="0" w:after="60"/>
              <w:jc w:val="center"/>
            </w:pPr>
            <w:r>
              <w:rPr>
                <w:rFonts w:ascii="Arial" w:cs="Arial" w:eastAsia="Arial" w:hAnsi="Arial"/>
                <w:b/>
                <w:bCs/>
                <w:color w:val="7FBBDD"/>
                <w:sz w:val="52"/>
                <w:szCs w:val="52"/>
              </w:rPr>
              <w:t xml:space="preserve">INCIDENT RESPONSE</w:t>
            </w:r>
          </w:p>
          <w:p>
            <w:pPr>
              <w:spacing w:before="0" w:after="200"/>
              <w:jc w:val="center"/>
            </w:pPr>
            <w:r>
              <w:rPr>
                <w:rFonts w:ascii="Arial" w:cs="Arial" w:eastAsia="Arial" w:hAnsi="Arial"/>
                <w:b/>
                <w:bCs/>
                <w:color w:val="FFFFFF"/>
                <w:sz w:val="52"/>
                <w:szCs w:val="52"/>
              </w:rPr>
              <w:t xml:space="preserve">WORKFLOW</w:t>
            </w:r>
          </w:p>
          <w:p>
            <w:pPr>
              <w:spacing w:before="0" w:after="180"/>
              <w:jc w:val="center"/>
            </w:pPr>
            <w:r>
              <w:rPr>
                <w:rFonts w:ascii="Arial" w:cs="Arial" w:eastAsia="Arial" w:hAnsi="Arial"/>
                <w:color w:val="3A6080"/>
                <w:sz w:val="24"/>
                <w:szCs w:val="24"/>
              </w:rPr>
              <w:t xml:space="preserve">─────────────────────────────────</w:t>
            </w:r>
          </w:p>
          <w:p>
            <w:pPr>
              <w:spacing w:before="0" w:after="80"/>
              <w:jc w:val="center"/>
            </w:pPr>
            <w:r>
              <w:rPr>
                <w:rFonts w:ascii="Arial" w:cs="Arial" w:eastAsia="Arial" w:hAnsi="Arial"/>
                <w:i/>
                <w:iCs/>
                <w:color w:val="BDD7EE"/>
                <w:sz w:val="28"/>
                <w:szCs w:val="28"/>
              </w:rPr>
              <w:t xml:space="preserve">End-to-End Investigation Framework</w:t>
            </w:r>
          </w:p>
          <w:p>
            <w:pPr>
              <w:spacing w:before="0" w:after="0"/>
              <w:jc w:val="center"/>
            </w:pPr>
            <w:r>
              <w:rPr>
                <w:rFonts w:ascii="Arial" w:cs="Arial" w:eastAsia="Arial" w:hAnsi="Arial"/>
                <w:color w:val="7FBBDD"/>
                <w:sz w:val="22"/>
                <w:szCs w:val="22"/>
              </w:rPr>
              <w:t xml:space="preserve">Preservation  ·  Collection  ·  Analysis  ·  Reporting  ·  Lessons Learned</w:t>
            </w:r>
          </w:p>
        </w:tc>
      </w:tr>
    </w:tbl>
    <w:p>
      <w:pPr>
        <w:spacing w:before="30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single" w:color="D6E4F0" w:sz="4"/>
              <w:left w:val="single" w:color="D6E4F0" w:sz="4"/>
              <w:bottom w:val="single" w:color="D6E4F0" w:sz="4"/>
              <w:right w:val="single" w:color="D6E4F0" w:sz="4"/>
            </w:tcBorders>
            <w:shd w:fill="EEF5FB" w:val="clear"/>
            <w:tcMar>
              <w:top w:type="dxa" w:w="100"/>
              <w:left w:type="dxa" w:w="160"/>
              <w:bottom w:type="dxa" w:w="100"/>
              <w:right w:type="dxa" w:w="160"/>
            </w:tcMar>
          </w:tcPr>
          <w:p>
            <w:pPr>
              <w:spacing w:before="0" w:after="20"/>
            </w:pPr>
            <w:r>
              <w:rPr>
                <w:rFonts w:ascii="Arial" w:cs="Arial" w:eastAsia="Arial" w:hAnsi="Arial"/>
                <w:b/>
                <w:bCs/>
                <w:color w:val="1A2A4A"/>
                <w:sz w:val="20"/>
                <w:szCs w:val="20"/>
              </w:rPr>
              <w:t xml:space="preserve">Classification</w:t>
            </w:r>
          </w:p>
          <w:p>
            <w:pPr>
              <w:spacing w:before="0" w:after="0"/>
            </w:pPr>
            <w:r>
              <w:rPr>
                <w:rFonts w:ascii="Arial" w:cs="Arial" w:eastAsia="Arial" w:hAnsi="Arial"/>
                <w:color w:val="C0392B"/>
                <w:sz w:val="20"/>
                <w:szCs w:val="20"/>
              </w:rPr>
              <w:t xml:space="preserve">CONFIDENTIAL — INTERNAL USE ONLY</w:t>
            </w:r>
          </w:p>
        </w:tc>
        <w:tc>
          <w:tcPr>
            <w:tcW w:type="dxa" w:w="4720"/>
            <w:tcBorders>
              <w:top w:val="single" w:color="D6E4F0" w:sz="4"/>
              <w:left w:val="single" w:color="D6E4F0" w:sz="4"/>
              <w:bottom w:val="single" w:color="D6E4F0" w:sz="4"/>
              <w:right w:val="single" w:color="D6E4F0" w:sz="4"/>
            </w:tcBorders>
            <w:shd w:fill="EEF5FB" w:val="clear"/>
            <w:tcMar>
              <w:top w:type="dxa" w:w="100"/>
              <w:left w:type="dxa" w:w="160"/>
              <w:bottom w:type="dxa" w:w="100"/>
              <w:right w:type="dxa" w:w="160"/>
            </w:tcMar>
          </w:tcPr>
          <w:p>
            <w:pPr>
              <w:spacing w:before="0" w:after="20"/>
            </w:pPr>
            <w:r>
              <w:rPr>
                <w:rFonts w:ascii="Arial" w:cs="Arial" w:eastAsia="Arial" w:hAnsi="Arial"/>
                <w:b/>
                <w:bCs/>
                <w:color w:val="1A2A4A"/>
                <w:sz w:val="20"/>
                <w:szCs w:val="20"/>
              </w:rPr>
              <w:t xml:space="preserve">Version</w:t>
            </w:r>
          </w:p>
          <w:p>
            <w:pPr>
              <w:spacing w:before="0" w:after="0"/>
            </w:pPr>
            <w:r>
              <w:rPr>
                <w:rFonts w:ascii="Arial" w:cs="Arial" w:eastAsia="Arial" w:hAnsi="Arial"/>
                <w:sz w:val="20"/>
                <w:szCs w:val="20"/>
              </w:rPr>
              <w:t xml:space="preserve">1.0 — March 2026</w:t>
            </w:r>
          </w:p>
        </w:tc>
      </w:tr>
      <w:tr>
        <w:tc>
          <w:tcPr>
            <w:tcW w:type="dxa" w:w="4640"/>
            <w:tcBorders>
              <w:top w:val="single" w:color="D6E4F0" w:sz="4"/>
              <w:left w:val="single" w:color="D6E4F0" w:sz="4"/>
              <w:bottom w:val="single" w:color="D6E4F0" w:sz="4"/>
              <w:right w:val="single" w:color="D6E4F0" w:sz="4"/>
            </w:tcBorders>
            <w:shd w:fill="FFFFFF" w:val="clear"/>
            <w:tcMar>
              <w:top w:type="dxa" w:w="100"/>
              <w:left w:type="dxa" w:w="160"/>
              <w:bottom w:type="dxa" w:w="100"/>
              <w:right w:type="dxa" w:w="160"/>
            </w:tcMar>
          </w:tcPr>
          <w:p>
            <w:pPr>
              <w:spacing w:before="0" w:after="20"/>
            </w:pPr>
            <w:r>
              <w:rPr>
                <w:rFonts w:ascii="Arial" w:cs="Arial" w:eastAsia="Arial" w:hAnsi="Arial"/>
                <w:b/>
                <w:bCs/>
                <w:color w:val="1A2A4A"/>
                <w:sz w:val="20"/>
                <w:szCs w:val="20"/>
              </w:rPr>
              <w:t xml:space="preserve">Applicability</w:t>
            </w:r>
          </w:p>
          <w:p>
            <w:pPr>
              <w:spacing w:before="0" w:after="0"/>
            </w:pPr>
            <w:r>
              <w:rPr>
                <w:rFonts w:ascii="Arial" w:cs="Arial" w:eastAsia="Arial" w:hAnsi="Arial"/>
                <w:sz w:val="20"/>
                <w:szCs w:val="20"/>
              </w:rPr>
              <w:t xml:space="preserve">Large global enterprise — Windows, hybrid cloud (AWS / Azure / GCP)</w:t>
            </w:r>
          </w:p>
        </w:tc>
        <w:tc>
          <w:tcPr>
            <w:tcW w:type="dxa" w:w="4720"/>
            <w:tcBorders>
              <w:top w:val="single" w:color="D6E4F0" w:sz="4"/>
              <w:left w:val="single" w:color="D6E4F0" w:sz="4"/>
              <w:bottom w:val="single" w:color="D6E4F0" w:sz="4"/>
              <w:right w:val="single" w:color="D6E4F0" w:sz="4"/>
            </w:tcBorders>
            <w:shd w:fill="FFFFFF" w:val="clear"/>
            <w:tcMar>
              <w:top w:type="dxa" w:w="100"/>
              <w:left w:type="dxa" w:w="160"/>
              <w:bottom w:type="dxa" w:w="100"/>
              <w:right w:type="dxa" w:w="160"/>
            </w:tcMar>
          </w:tcPr>
          <w:p>
            <w:pPr>
              <w:spacing w:before="0" w:after="20"/>
            </w:pPr>
            <w:r>
              <w:rPr>
                <w:rFonts w:ascii="Arial" w:cs="Arial" w:eastAsia="Arial" w:hAnsi="Arial"/>
                <w:b/>
                <w:bCs/>
                <w:color w:val="1A2A4A"/>
                <w:sz w:val="20"/>
                <w:szCs w:val="20"/>
              </w:rPr>
              <w:t xml:space="preserve">Review Cycle</w:t>
            </w:r>
          </w:p>
          <w:p>
            <w:pPr>
              <w:spacing w:before="0" w:after="0"/>
            </w:pPr>
            <w:r>
              <w:rPr>
                <w:rFonts w:ascii="Arial" w:cs="Arial" w:eastAsia="Arial" w:hAnsi="Arial"/>
                <w:sz w:val="20"/>
                <w:szCs w:val="20"/>
              </w:rPr>
              <w:t xml:space="preserve">Annual or post-major incident</w:t>
            </w:r>
          </w:p>
        </w:tc>
      </w:tr>
    </w:tbl>
    <w:p>
      <w:pPr>
        <w:spacing w:before="200" w:after="0"/>
      </w:pPr>
      <w:r>
        <w:rPr>
          <w:rFonts w:ascii="Arial" w:cs="Arial" w:eastAsia="Arial" w:hAnsi="Arial"/>
        </w:rPr>
        <w:t xml:space="preserve"/>
      </w:r>
    </w:p>
    <w:p>
      <w:pPr>
        <w:spacing w:before="80" w:after="0"/>
        <w:jc w:val="center"/>
      </w:pPr>
      <w:r>
        <w:rPr>
          <w:rFonts w:ascii="Arial" w:cs="Arial" w:eastAsia="Arial" w:hAnsi="Arial"/>
          <w:i/>
          <w:iCs/>
          <w:color w:val="5D6D7E"/>
          <w:sz w:val="18"/>
          <w:szCs w:val="18"/>
        </w:rPr>
        <w:t xml:space="preserve">Proof of concept document. Not for operational use without review and approval.</w:t>
      </w:r>
    </w:p>
    <w:p>
      <w:pPr>
        <w:spacing w:before="300" w:after="0"/>
      </w:pPr>
      <w:r>
        <w:rPr>
          <w:rFonts w:ascii="Arial" w:cs="Arial" w:eastAsia="Arial" w:hAnsi="Arial"/>
        </w:rPr>
        <w:t xml:space="preserve"/>
      </w:r>
    </w:p>
    <w:p>
      <w:pPr>
        <w:pStyle w:val="Heading2"/>
        <w:spacing w:before="280" w:after="100"/>
      </w:pPr>
      <w:r>
        <w:rPr>
          <w:rFonts w:ascii="Arial" w:cs="Arial" w:eastAsia="Arial" w:hAnsi="Arial"/>
          <w:b/>
          <w:bCs/>
          <w:color w:val="1565C0"/>
          <w:sz w:val="28"/>
          <w:szCs w:val="28"/>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Section</w:t>
            </w:r>
          </w:p>
        </w:tc>
        <w:tc>
          <w:tcPr>
            <w:tcW w:type="dxa" w:w="876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Title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01</w:t>
            </w:r>
          </w:p>
        </w:tc>
        <w:tc>
          <w:tcPr>
            <w:tcW w:type="dxa" w:w="8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Governance &amp; Audit Framework — Legal authority, chain of custody, evidence integrity</w:t>
            </w:r>
          </w:p>
        </w:tc>
      </w:tr>
      <w:tr>
        <w:tc>
          <w:tcPr>
            <w:tcW w:type="dxa" w:w="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02</w:t>
            </w:r>
          </w:p>
        </w:tc>
        <w:tc>
          <w:tcPr>
            <w:tcW w:type="dxa" w:w="8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Preservation — Order of volatility, acquisition principles, what not to do</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03</w:t>
            </w:r>
          </w:p>
        </w:tc>
        <w:tc>
          <w:tcPr>
            <w:tcW w:type="dxa" w:w="8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Collection: Windows Endpoint — Memory, logs, file system, registry artefacts</w:t>
            </w:r>
          </w:p>
        </w:tc>
      </w:tr>
      <w:tr>
        <w:tc>
          <w:tcPr>
            <w:tcW w:type="dxa" w:w="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04</w:t>
            </w:r>
          </w:p>
        </w:tc>
        <w:tc>
          <w:tcPr>
            <w:tcW w:type="dxa" w:w="8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Collection: Network &amp; Perimeter — Firewall, proxy, DNS, EDR, identity, email</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05</w:t>
            </w:r>
          </w:p>
        </w:tc>
        <w:tc>
          <w:tcPr>
            <w:tcW w:type="dxa" w:w="8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Collection: Cloud — AWS, Azure, GCP log sources and acquisition approach</w:t>
            </w:r>
          </w:p>
        </w:tc>
      </w:tr>
      <w:tr>
        <w:tc>
          <w:tcPr>
            <w:tcW w:type="dxa" w:w="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06</w:t>
            </w:r>
          </w:p>
        </w:tc>
        <w:tc>
          <w:tcPr>
            <w:tcW w:type="dxa" w:w="8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Investigation Objectives — Root cause, timeline, exfiltration, IOCs, accounts, persistence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07</w:t>
            </w:r>
          </w:p>
        </w:tc>
        <w:tc>
          <w:tcPr>
            <w:tcW w:type="dxa" w:w="8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Analysis Workflow — Triage, timeline build, hypothesis-driven investigation, scope confirmation</w:t>
            </w:r>
          </w:p>
        </w:tc>
      </w:tr>
      <w:tr>
        <w:tc>
          <w:tcPr>
            <w:tcW w:type="dxa" w:w="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08</w:t>
            </w:r>
          </w:p>
        </w:tc>
        <w:tc>
          <w:tcPr>
            <w:tcW w:type="dxa" w:w="8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Reporting — Executive summary, technical findings, ATT&amp;CK mapping, regulatory notifications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09</w:t>
            </w:r>
          </w:p>
        </w:tc>
        <w:tc>
          <w:tcPr>
            <w:tcW w:type="dxa" w:w="8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Recommendations — Immediate, short-term, strategic; tracking and governance</w:t>
            </w:r>
          </w:p>
        </w:tc>
      </w:tr>
      <w:tr>
        <w:tc>
          <w:tcPr>
            <w:tcW w:type="dxa" w:w="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10</w:t>
            </w:r>
          </w:p>
        </w:tc>
        <w:tc>
          <w:tcPr>
            <w:tcW w:type="dxa" w:w="8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Lessons Learned &amp; Post-Incident Review — PIR structure, metrics, closure, programme improvement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2A4A" w:sz="8"/>
              <w:left w:val="single" w:color="1A2A4A" w:sz="8"/>
              <w:bottom w:val="single" w:color="1A2A4A" w:sz="8"/>
              <w:right w:val="single" w:color="1A2A4A" w:sz="8"/>
            </w:tcBorders>
            <w:shd w:fill="1A2A4A"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48"/>
                <w:szCs w:val="48"/>
              </w:rPr>
              <w:t xml:space="preserve">01</w:t>
            </w:r>
          </w:p>
        </w:tc>
        <w:tc>
          <w:tcPr>
            <w:tcW w:type="dxa" w:w="8160"/>
            <w:tcBorders>
              <w:top w:val="single" w:color="1A2A4A" w:sz="8"/>
              <w:left w:val="single" w:color="1A2A4A" w:sz="8"/>
              <w:bottom w:val="single" w:color="1A2A4A" w:sz="8"/>
              <w:right w:val="single" w:color="1A2A4A" w:sz="8"/>
            </w:tcBorders>
            <w:shd w:fill="2E75B6" w:val="clear"/>
            <w:tcMar>
              <w:top w:type="dxa" w:w="120"/>
              <w:left w:type="dxa" w:w="200"/>
              <w:bottom w:type="dxa" w:w="120"/>
              <w:right w:type="dxa" w:w="160"/>
            </w:tcMar>
          </w:tcPr>
          <w:p>
            <w:pPr>
              <w:spacing w:before="0" w:after="40"/>
            </w:pPr>
            <w:r>
              <w:rPr>
                <w:rFonts w:ascii="Arial" w:cs="Arial" w:eastAsia="Arial" w:hAnsi="Arial"/>
                <w:b/>
                <w:bCs/>
                <w:color w:val="FFFFFF"/>
                <w:sz w:val="32"/>
                <w:szCs w:val="32"/>
              </w:rPr>
              <w:t xml:space="preserve">Governance &amp; Audit Framework</w:t>
            </w:r>
          </w:p>
          <w:p>
            <w:pPr>
              <w:spacing w:before="0" w:after="0"/>
            </w:pPr>
            <w:r>
              <w:rPr>
                <w:rFonts w:ascii="Arial" w:cs="Arial" w:eastAsia="Arial" w:hAnsi="Arial"/>
                <w:i/>
                <w:iCs/>
                <w:color w:val="BDD7EE"/>
                <w:sz w:val="20"/>
                <w:szCs w:val="20"/>
              </w:rPr>
              <w:t xml:space="preserve">Legal authority, chain of custody, evidence integrity, and investigation controls</w:t>
            </w:r>
          </w:p>
        </w:tc>
      </w:tr>
    </w:tbl>
    <w:p>
      <w:pPr>
        <w:pStyle w:val="Heading2"/>
        <w:spacing w:before="280" w:after="100"/>
      </w:pPr>
      <w:r>
        <w:rPr>
          <w:rFonts w:ascii="Arial" w:cs="Arial" w:eastAsia="Arial" w:hAnsi="Arial"/>
          <w:b/>
          <w:bCs/>
          <w:color w:val="1565C0"/>
          <w:sz w:val="28"/>
          <w:szCs w:val="28"/>
        </w:rPr>
        <w:t xml:space="preserve">1.1 Authority to Investigate</w:t>
      </w:r>
    </w:p>
    <w:p>
      <w:pPr>
        <w:spacing w:before="60" w:after="60"/>
      </w:pPr>
      <w:r>
        <w:rPr>
          <w:rFonts w:ascii="Arial" w:cs="Arial" w:eastAsia="Arial" w:hAnsi="Arial"/>
          <w:sz w:val="22"/>
          <w:szCs w:val="22"/>
        </w:rPr>
        <w:t xml:space="preserve">Before any investigative action is taken, the legal authority and scope of the investigation must be formally established. Without this, evidence may be inadmissible and investigators may expose themselves and the organisation to legal 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Requirement</w:t>
            </w:r>
          </w:p>
        </w:tc>
        <w:tc>
          <w:tcPr>
            <w:tcW w:type="dxa" w:w="676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Guidance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Formal Authorisation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Written sign-off from CISO and CLO authorising the investigation, defining its scope and naming the lead investigator.</w:t>
            </w:r>
          </w:p>
        </w:tc>
      </w:tr>
      <w:tr>
        <w:tc>
          <w:tcPr>
            <w:tcW w:type="dxa" w:w="2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Legal Basis</w:t>
            </w:r>
          </w:p>
        </w:tc>
        <w:tc>
          <w:tcPr>
            <w:tcW w:type="dxa" w:w="6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Confirm legal basis for accessing employee data, monitoring systems, and collecting evidence (UK: Computer Misuse Act 1990, DPA 2018, employment contracts, acceptable use policies).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Legal Professional Privilege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Instruct external legal counsel to direct the investigation where litigation or regulatory action is anticipated. All documentation produced under privilege is protected from disclosure.</w:t>
            </w:r>
          </w:p>
        </w:tc>
      </w:tr>
      <w:tr>
        <w:tc>
          <w:tcPr>
            <w:tcW w:type="dxa" w:w="2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Scope Statement</w:t>
            </w:r>
          </w:p>
        </w:tc>
        <w:tc>
          <w:tcPr>
            <w:tcW w:type="dxa" w:w="6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Document what is in scope: which systems, users, timeframes, and data types. Any expansion of scope must be re-authorised in writing.</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Multi-Jurisdiction Check</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Identify if affected systems, data, or individuals are subject to additional legal regimes (GDPR, US CFAA, local data protection laws). Obtain jurisdiction-specific legal advice.</w:t>
            </w:r>
          </w:p>
        </w:tc>
      </w:tr>
      <w:tr>
        <w:tc>
          <w:tcPr>
            <w:tcW w:type="dxa" w:w="2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Need-to-Know Register</w:t>
            </w:r>
          </w:p>
        </w:tc>
        <w:tc>
          <w:tcPr>
            <w:tcW w:type="dxa" w:w="6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Maintain a named list of all personnel with access to investigation materials. This list is itself a controlled document.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6"/>
              <w:left w:val="single" w:color="1E6B3C" w:sz="6"/>
              <w:bottom w:val="single" w:color="1E6B3C" w:sz="6"/>
              <w:right w:val="single" w:color="1E6B3C" w:sz="6"/>
            </w:tcBorders>
            <w:shd w:fill="1E6B3C" w:val="clear"/>
            <w:tcMar>
              <w:top w:type="dxa" w:w="80"/>
              <w:left w:type="dxa" w:w="140"/>
              <w:bottom w:type="dxa" w:w="60"/>
              <w:right w:type="dxa" w:w="140"/>
            </w:tcMar>
          </w:tcPr>
          <w:p>
            <w:pPr>
              <w:spacing w:before="0" w:after="0"/>
            </w:pPr>
            <w:r>
              <w:rPr>
                <w:rFonts w:ascii="Arial" w:cs="Arial" w:eastAsia="Arial" w:hAnsi="Arial"/>
                <w:b/>
                <w:bCs/>
                <w:color w:val="FFFFFF"/>
                <w:sz w:val="20"/>
                <w:szCs w:val="20"/>
              </w:rPr>
              <w:t xml:space="preserve">AUDIT TRAIL — LOG THE FOLLOWING</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Document: Date and time authority to investigate was granted, by whom, and under what legal basis.</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Document: Initial scope statement, signed by CISO and CLO.</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Document: All subsequent scope changes with date, rationale, and authorising signatures.</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Document: Need-to-know register created and maintained from this point forward.</w:t>
            </w:r>
          </w:p>
        </w:tc>
      </w:tr>
    </w:tbl>
    <w:p>
      <w:pPr>
        <w:pStyle w:val="Heading2"/>
        <w:spacing w:before="280" w:after="100"/>
      </w:pPr>
      <w:r>
        <w:rPr>
          <w:rFonts w:ascii="Arial" w:cs="Arial" w:eastAsia="Arial" w:hAnsi="Arial"/>
          <w:b/>
          <w:bCs/>
          <w:color w:val="1565C0"/>
          <w:sz w:val="28"/>
          <w:szCs w:val="28"/>
        </w:rPr>
        <w:t xml:space="preserve">1.2 Investigation Log</w:t>
      </w:r>
    </w:p>
    <w:p>
      <w:pPr>
        <w:spacing w:before="60" w:after="60"/>
      </w:pPr>
      <w:r>
        <w:rPr>
          <w:rFonts w:ascii="Arial" w:cs="Arial" w:eastAsia="Arial" w:hAnsi="Arial"/>
          <w:sz w:val="22"/>
          <w:szCs w:val="22"/>
        </w:rPr>
        <w:t xml:space="preserve">A continuous, contemporaneous investigation log must be maintained from the moment the investigation is opened. This log is a primary evidence artefact and will be scrutinised in any regulatory, legal, or disciplinary proceeding.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2E75B6" w:val="clear"/>
            <w:tcMar>
              <w:top w:type="dxa" w:w="80"/>
              <w:left w:type="dxa" w:w="140"/>
              <w:bottom w:type="dxa" w:w="60"/>
              <w:right w:type="dxa" w:w="140"/>
            </w:tcMar>
          </w:tcPr>
          <w:p>
            <w:pPr>
              <w:spacing w:before="0" w:after="0"/>
            </w:pPr>
            <w:r>
              <w:rPr>
                <w:rFonts w:ascii="Arial" w:cs="Arial" w:eastAsia="Arial" w:hAnsi="Arial"/>
                <w:b/>
                <w:bCs/>
                <w:color w:val="1A2A4A"/>
                <w:sz w:val="20"/>
                <w:szCs w:val="20"/>
              </w:rPr>
              <w:t xml:space="preserve">INVESTIGATION LOG — MINIMUM REQUIRED FIELDS</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Entry Number  |  Date &amp; Time (UTC)  |  Investigator Name &amp; Role</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Action Taken  |  System / Evidence Item Referenced  |  Outcome / Finding</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Decision Made (if applicable)  |  Authorisation (if required)  |  Witness / Reviewer</w:t>
            </w:r>
          </w:p>
        </w:tc>
      </w:tr>
    </w:tbl>
    <w:p>
      <w:pPr>
        <w:spacing w:before="60" w:after="60"/>
      </w:pPr>
      <w:r>
        <w:rPr>
          <w:rFonts w:ascii="Arial" w:cs="Arial" w:eastAsia="Arial" w:hAnsi="Arial"/>
          <w:sz w:val="22"/>
          <w:szCs w:val="22"/>
        </w:rPr>
        <w:t xml:space="preserve">The log must be:</w:t>
      </w:r>
    </w:p>
    <w:p>
      <w:pPr>
        <w:pStyle w:val="ListParagraph"/>
        <w:numPr>
          <w:ilvl w:val="0"/>
          <w:numId w:val="2"/>
        </w:numPr>
        <w:spacing w:before="40" w:after="40"/>
      </w:pPr>
      <w:r>
        <w:rPr>
          <w:rFonts w:ascii="Arial" w:cs="Arial" w:eastAsia="Arial" w:hAnsi="Arial"/>
          <w:b w:val="false"/>
          <w:bCs w:val="false"/>
          <w:sz w:val="22"/>
          <w:szCs w:val="22"/>
        </w:rPr>
        <w:t xml:space="preserve">Maintained in real time — retrospective entries are inadmissible in most proceedings</w:t>
      </w:r>
    </w:p>
    <w:p>
      <w:pPr>
        <w:pStyle w:val="ListParagraph"/>
        <w:numPr>
          <w:ilvl w:val="0"/>
          <w:numId w:val="2"/>
        </w:numPr>
        <w:spacing w:before="40" w:after="40"/>
      </w:pPr>
      <w:r>
        <w:rPr>
          <w:rFonts w:ascii="Arial" w:cs="Arial" w:eastAsia="Arial" w:hAnsi="Arial"/>
          <w:b w:val="false"/>
          <w:bCs w:val="false"/>
          <w:sz w:val="22"/>
          <w:szCs w:val="22"/>
        </w:rPr>
        <w:t xml:space="preserve">Stored in a write-protected, tamper-evident system (not a standard shared drive)</w:t>
      </w:r>
    </w:p>
    <w:p>
      <w:pPr>
        <w:pStyle w:val="ListParagraph"/>
        <w:numPr>
          <w:ilvl w:val="0"/>
          <w:numId w:val="2"/>
        </w:numPr>
        <w:spacing w:before="40" w:after="40"/>
      </w:pPr>
      <w:r>
        <w:rPr>
          <w:rFonts w:ascii="Arial" w:cs="Arial" w:eastAsia="Arial" w:hAnsi="Arial"/>
          <w:b w:val="false"/>
          <w:bCs w:val="false"/>
          <w:sz w:val="22"/>
          <w:szCs w:val="22"/>
        </w:rPr>
        <w:t xml:space="preserve">Reviewed and countersigned by a second investigator at agreed intervals</w:t>
      </w:r>
    </w:p>
    <w:p>
      <w:pPr>
        <w:pStyle w:val="ListParagraph"/>
        <w:numPr>
          <w:ilvl w:val="0"/>
          <w:numId w:val="2"/>
        </w:numPr>
        <w:spacing w:before="40" w:after="40"/>
      </w:pPr>
      <w:r>
        <w:rPr>
          <w:rFonts w:ascii="Arial" w:cs="Arial" w:eastAsia="Arial" w:hAnsi="Arial"/>
          <w:b w:val="false"/>
          <w:bCs w:val="false"/>
          <w:sz w:val="22"/>
          <w:szCs w:val="22"/>
        </w:rPr>
        <w:t xml:space="preserve">Never edited — errors must be struck through with a correction appended, not deleted</w:t>
      </w:r>
    </w:p>
    <w:p>
      <w:pPr>
        <w:pStyle w:val="ListParagraph"/>
        <w:numPr>
          <w:ilvl w:val="0"/>
          <w:numId w:val="2"/>
        </w:numPr>
        <w:spacing w:before="40" w:after="40"/>
      </w:pPr>
      <w:r>
        <w:rPr>
          <w:rFonts w:ascii="Arial" w:cs="Arial" w:eastAsia="Arial" w:hAnsi="Arial"/>
          <w:b w:val="false"/>
          <w:bCs w:val="false"/>
          <w:sz w:val="22"/>
          <w:szCs w:val="22"/>
        </w:rPr>
        <w:t xml:space="preserve">Backed up daily to an independent location</w:t>
      </w:r>
    </w:p>
    <w:p>
      <w:pPr>
        <w:pStyle w:val="Heading2"/>
        <w:spacing w:before="280" w:after="100"/>
      </w:pPr>
      <w:r>
        <w:rPr>
          <w:rFonts w:ascii="Arial" w:cs="Arial" w:eastAsia="Arial" w:hAnsi="Arial"/>
          <w:b/>
          <w:bCs/>
          <w:color w:val="1565C0"/>
          <w:sz w:val="28"/>
          <w:szCs w:val="28"/>
        </w:rPr>
        <w:t xml:space="preserve">1.3 Evidence Register</w:t>
      </w:r>
    </w:p>
    <w:p>
      <w:pPr>
        <w:spacing w:before="60" w:after="60"/>
      </w:pPr>
      <w:r>
        <w:rPr>
          <w:rFonts w:ascii="Arial" w:cs="Arial" w:eastAsia="Arial" w:hAnsi="Arial"/>
          <w:sz w:val="22"/>
          <w:szCs w:val="22"/>
        </w:rPr>
        <w:t xml:space="preserve">Every item of evidence collected must be logged in a formal evidence register before it is examined. Evidence collected without registration cannot reliably be traced back to its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tblHeader/>
        </w:trPr>
        <w:tc>
          <w:tcPr>
            <w:tcW w:type="dxa" w:w="20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348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Content</w:t>
            </w:r>
          </w:p>
        </w:tc>
        <w:tc>
          <w:tcPr>
            <w:tcW w:type="dxa" w:w="388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Evidence ID</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Unique sequential reference (e.g. EV-001)</w:t>
            </w:r>
          </w:p>
        </w:tc>
        <w:tc>
          <w:tcPr>
            <w:tcW w:type="dxa" w:w="3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Provides a traceable reference for all downstream use of this item</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Description</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What it is — device type, model, serial number, or logical source</w:t>
            </w:r>
          </w:p>
        </w:tc>
        <w:tc>
          <w:tcPr>
            <w:tcW w:type="dxa" w:w="38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Enables identification and re-acquisition if required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Source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Where it was collected from — hostname, IP, cloud account, physical location</w:t>
            </w:r>
          </w:p>
        </w:tc>
        <w:tc>
          <w:tcPr>
            <w:tcW w:type="dxa" w:w="3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Establishes provenance of the evidence</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Collected By</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Full name and role of the collecting investigator</w:t>
            </w:r>
          </w:p>
        </w:tc>
        <w:tc>
          <w:tcPr>
            <w:tcW w:type="dxa" w:w="38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Establishes chain of custody from point of collection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Date / Time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UTC timestamp of collection</w:t>
            </w:r>
          </w:p>
        </w:tc>
        <w:tc>
          <w:tcPr>
            <w:tcW w:type="dxa" w:w="3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Critical for timeline accuracy and legal admissibility</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Hash Value</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MD5 and SHA-256 of all digital evidence at point of collection</w:t>
            </w:r>
          </w:p>
        </w:tc>
        <w:tc>
          <w:tcPr>
            <w:tcW w:type="dxa" w:w="38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Integrity verification — proves evidence has not been altered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Storage Location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Where the evidence is stored — physical and logical path</w:t>
            </w:r>
          </w:p>
        </w:tc>
        <w:tc>
          <w:tcPr>
            <w:tcW w:type="dxa" w:w="3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Required for retrieval and chain of custody</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Access Log</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Record of every person who has accessed or examined the item</w:t>
            </w:r>
          </w:p>
        </w:tc>
        <w:tc>
          <w:tcPr>
            <w:tcW w:type="dxa" w:w="38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Maintains chain of custody through the investigation lifecycle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6"/>
              <w:left w:val="single" w:color="1E6B3C" w:sz="6"/>
              <w:bottom w:val="single" w:color="1E6B3C" w:sz="6"/>
              <w:right w:val="single" w:color="1E6B3C" w:sz="6"/>
            </w:tcBorders>
            <w:shd w:fill="1E6B3C" w:val="clear"/>
            <w:tcMar>
              <w:top w:type="dxa" w:w="80"/>
              <w:left w:type="dxa" w:w="140"/>
              <w:bottom w:type="dxa" w:w="60"/>
              <w:right w:type="dxa" w:w="140"/>
            </w:tcMar>
          </w:tcPr>
          <w:p>
            <w:pPr>
              <w:spacing w:before="0" w:after="0"/>
            </w:pPr>
            <w:r>
              <w:rPr>
                <w:rFonts w:ascii="Arial" w:cs="Arial" w:eastAsia="Arial" w:hAnsi="Arial"/>
                <w:b/>
                <w:bCs/>
                <w:color w:val="FFFFFF"/>
                <w:sz w:val="20"/>
                <w:szCs w:val="20"/>
              </w:rPr>
              <w:t xml:space="preserve">AUDIT TRAIL — LOG THE FOLLOWING</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Every evidence item must be registered BEFORE examination begins.</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Hash all digital evidence at point of collection and record in the evidence register.</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Re-hash evidence before and after each examination session and record both values.</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Any discrepancy in hash values must be escalated immediately to the lead investigator and legal counsel.</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Physical evidence must be stored in tamper-evident packaging with seals signed and dated.</w:t>
            </w:r>
          </w:p>
        </w:tc>
      </w:tr>
    </w:tbl>
    <w:p>
      <w:pPr>
        <w:pStyle w:val="Heading2"/>
        <w:spacing w:before="280" w:after="100"/>
      </w:pPr>
      <w:r>
        <w:rPr>
          <w:rFonts w:ascii="Arial" w:cs="Arial" w:eastAsia="Arial" w:hAnsi="Arial"/>
          <w:b/>
          <w:bCs/>
          <w:color w:val="1565C0"/>
          <w:sz w:val="28"/>
          <w:szCs w:val="28"/>
        </w:rPr>
        <w:t xml:space="preserve">1.4 Chain of Custody</w:t>
      </w:r>
    </w:p>
    <w:p>
      <w:pPr>
        <w:spacing w:before="60" w:after="60"/>
      </w:pPr>
      <w:r>
        <w:rPr>
          <w:rFonts w:ascii="Arial" w:cs="Arial" w:eastAsia="Arial" w:hAnsi="Arial"/>
          <w:sz w:val="22"/>
          <w:szCs w:val="22"/>
        </w:rPr>
        <w:t xml:space="preserve">Chain of custody documents the complete history of evidence from collection to disposal. A broken chain of custody can render evidence inadmissible and undermine prosecution, regulatory, or disciplinary proceedings.</w:t>
      </w:r>
    </w:p>
    <w:p>
      <w:pPr>
        <w:pStyle w:val="ListParagraph"/>
        <w:numPr>
          <w:ilvl w:val="0"/>
          <w:numId w:val="2"/>
        </w:numPr>
        <w:spacing w:before="40" w:after="40"/>
      </w:pPr>
      <w:r>
        <w:rPr>
          <w:rFonts w:ascii="Arial" w:cs="Arial" w:eastAsia="Arial" w:hAnsi="Arial"/>
          <w:b w:val="false"/>
          <w:bCs w:val="false"/>
          <w:sz w:val="22"/>
          <w:szCs w:val="22"/>
        </w:rPr>
        <w:t xml:space="preserve">Every transfer of evidence between individuals must be recorded: from whom, to whom, date, time, and purpose</w:t>
      </w:r>
    </w:p>
    <w:p>
      <w:pPr>
        <w:pStyle w:val="ListParagraph"/>
        <w:numPr>
          <w:ilvl w:val="0"/>
          <w:numId w:val="2"/>
        </w:numPr>
        <w:spacing w:before="40" w:after="40"/>
      </w:pPr>
      <w:r>
        <w:rPr>
          <w:rFonts w:ascii="Arial" w:cs="Arial" w:eastAsia="Arial" w:hAnsi="Arial"/>
          <w:b w:val="false"/>
          <w:bCs w:val="false"/>
          <w:sz w:val="22"/>
          <w:szCs w:val="22"/>
        </w:rPr>
        <w:t xml:space="preserve">Evidence must never be left unattended in an unsecured location</w:t>
      </w:r>
    </w:p>
    <w:p>
      <w:pPr>
        <w:pStyle w:val="ListParagraph"/>
        <w:numPr>
          <w:ilvl w:val="0"/>
          <w:numId w:val="2"/>
        </w:numPr>
        <w:spacing w:before="40" w:after="40"/>
      </w:pPr>
      <w:r>
        <w:rPr>
          <w:rFonts w:ascii="Arial" w:cs="Arial" w:eastAsia="Arial" w:hAnsi="Arial"/>
          <w:b w:val="false"/>
          <w:bCs w:val="false"/>
          <w:sz w:val="22"/>
          <w:szCs w:val="22"/>
        </w:rPr>
        <w:t xml:space="preserve">Access to evidence storage must be restricted and logged</w:t>
      </w:r>
    </w:p>
    <w:p>
      <w:pPr>
        <w:pStyle w:val="ListParagraph"/>
        <w:numPr>
          <w:ilvl w:val="0"/>
          <w:numId w:val="2"/>
        </w:numPr>
        <w:spacing w:before="40" w:after="40"/>
      </w:pPr>
      <w:r>
        <w:rPr>
          <w:rFonts w:ascii="Arial" w:cs="Arial" w:eastAsia="Arial" w:hAnsi="Arial"/>
          <w:b w:val="false"/>
          <w:bCs w:val="false"/>
          <w:sz w:val="22"/>
          <w:szCs w:val="22"/>
        </w:rPr>
        <w:t xml:space="preserve">Where evidence is sent to a third party (external forensics lab, counsel), a formal transfer form must be completed and signed by both parties</w:t>
      </w:r>
    </w:p>
    <w:p>
      <w:pPr>
        <w:pStyle w:val="ListParagraph"/>
        <w:numPr>
          <w:ilvl w:val="0"/>
          <w:numId w:val="2"/>
        </w:numPr>
        <w:spacing w:before="40" w:after="40"/>
      </w:pPr>
      <w:r>
        <w:rPr>
          <w:rFonts w:ascii="Arial" w:cs="Arial" w:eastAsia="Arial" w:hAnsi="Arial"/>
          <w:b w:val="false"/>
          <w:bCs w:val="false"/>
          <w:sz w:val="22"/>
          <w:szCs w:val="22"/>
        </w:rPr>
        <w:t xml:space="preserve">Digital evidence transmitted electronically must be encrypted and the transmission itself logged</w:t>
      </w:r>
    </w:p>
    <w:p>
      <w:pPr>
        <w:pStyle w:val="Heading2"/>
        <w:spacing w:before="280" w:after="100"/>
      </w:pPr>
      <w:r>
        <w:rPr>
          <w:rFonts w:ascii="Arial" w:cs="Arial" w:eastAsia="Arial" w:hAnsi="Arial"/>
          <w:b/>
          <w:bCs/>
          <w:color w:val="1565C0"/>
          <w:sz w:val="28"/>
          <w:szCs w:val="28"/>
        </w:rPr>
        <w:t xml:space="preserve">1.5 Legal Hold</w:t>
      </w:r>
    </w:p>
    <w:p>
      <w:pPr>
        <w:spacing w:before="60" w:after="60"/>
      </w:pPr>
      <w:r>
        <w:rPr>
          <w:rFonts w:ascii="Arial" w:cs="Arial" w:eastAsia="Arial" w:hAnsi="Arial"/>
          <w:sz w:val="22"/>
          <w:szCs w:val="22"/>
        </w:rPr>
        <w:t xml:space="preserve">A legal hold must be issued at the earliest opportunity to preserve all potentially relevant data from routine deletion, overwrite, or modification. Failure to preserve relevant data after becoming aware of an incident may constitute spoliation.</w:t>
      </w:r>
    </w:p>
    <w:p>
      <w:pPr>
        <w:pStyle w:val="ListParagraph"/>
        <w:numPr>
          <w:ilvl w:val="0"/>
          <w:numId w:val="2"/>
        </w:numPr>
        <w:spacing w:before="40" w:after="40"/>
      </w:pPr>
      <w:r>
        <w:rPr>
          <w:rFonts w:ascii="Arial" w:cs="Arial" w:eastAsia="Arial" w:hAnsi="Arial"/>
          <w:b w:val="false"/>
          <w:bCs w:val="false"/>
          <w:sz w:val="22"/>
          <w:szCs w:val="22"/>
        </w:rPr>
        <w:t xml:space="preserve">Legal hold notice must be issued in writing by legal counsel to all custodians of relevant data</w:t>
      </w:r>
    </w:p>
    <w:p>
      <w:pPr>
        <w:pStyle w:val="ListParagraph"/>
        <w:numPr>
          <w:ilvl w:val="0"/>
          <w:numId w:val="2"/>
        </w:numPr>
        <w:spacing w:before="40" w:after="40"/>
      </w:pPr>
      <w:r>
        <w:rPr>
          <w:rFonts w:ascii="Arial" w:cs="Arial" w:eastAsia="Arial" w:hAnsi="Arial"/>
          <w:b w:val="false"/>
          <w:bCs w:val="false"/>
          <w:sz w:val="22"/>
          <w:szCs w:val="22"/>
        </w:rPr>
        <w:t xml:space="preserve">Scope of hold: email, instant messaging, cloud storage, endpoint devices, server logs, backup tapes, and any other relevant data store</w:t>
      </w:r>
    </w:p>
    <w:p>
      <w:pPr>
        <w:pStyle w:val="ListParagraph"/>
        <w:numPr>
          <w:ilvl w:val="0"/>
          <w:numId w:val="2"/>
        </w:numPr>
        <w:spacing w:before="40" w:after="40"/>
      </w:pPr>
      <w:r>
        <w:rPr>
          <w:rFonts w:ascii="Arial" w:cs="Arial" w:eastAsia="Arial" w:hAnsi="Arial"/>
          <w:b w:val="false"/>
          <w:bCs w:val="false"/>
          <w:sz w:val="22"/>
          <w:szCs w:val="22"/>
        </w:rPr>
        <w:t xml:space="preserve">Automated deletion routines (email purge policies, log rotation) must be suspended for in-scope data</w:t>
      </w:r>
    </w:p>
    <w:p>
      <w:pPr>
        <w:pStyle w:val="ListParagraph"/>
        <w:numPr>
          <w:ilvl w:val="0"/>
          <w:numId w:val="2"/>
        </w:numPr>
        <w:spacing w:before="40" w:after="40"/>
      </w:pPr>
      <w:r>
        <w:rPr>
          <w:rFonts w:ascii="Arial" w:cs="Arial" w:eastAsia="Arial" w:hAnsi="Arial"/>
          <w:b w:val="false"/>
          <w:bCs w:val="false"/>
          <w:sz w:val="22"/>
          <w:szCs w:val="22"/>
        </w:rPr>
        <w:t xml:space="preserve">Custodians must acknowledge receipt of the legal hold in writing</w:t>
      </w:r>
    </w:p>
    <w:p>
      <w:pPr>
        <w:pStyle w:val="ListParagraph"/>
        <w:numPr>
          <w:ilvl w:val="0"/>
          <w:numId w:val="2"/>
        </w:numPr>
        <w:spacing w:before="40" w:after="40"/>
      </w:pPr>
      <w:r>
        <w:rPr>
          <w:rFonts w:ascii="Arial" w:cs="Arial" w:eastAsia="Arial" w:hAnsi="Arial"/>
          <w:b w:val="false"/>
          <w:bCs w:val="false"/>
          <w:sz w:val="22"/>
          <w:szCs w:val="22"/>
        </w:rPr>
        <w:t xml:space="preserve">Legal hold remains in force until formally lifted in writing by legal counsel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6"/>
              <w:left w:val="single" w:color="1E6B3C" w:sz="6"/>
              <w:bottom w:val="single" w:color="1E6B3C" w:sz="6"/>
              <w:right w:val="single" w:color="1E6B3C" w:sz="6"/>
            </w:tcBorders>
            <w:shd w:fill="1E6B3C" w:val="clear"/>
            <w:tcMar>
              <w:top w:type="dxa" w:w="80"/>
              <w:left w:type="dxa" w:w="140"/>
              <w:bottom w:type="dxa" w:w="60"/>
              <w:right w:type="dxa" w:w="140"/>
            </w:tcMar>
          </w:tcPr>
          <w:p>
            <w:pPr>
              <w:spacing w:before="0" w:after="0"/>
            </w:pPr>
            <w:r>
              <w:rPr>
                <w:rFonts w:ascii="Arial" w:cs="Arial" w:eastAsia="Arial" w:hAnsi="Arial"/>
                <w:b/>
                <w:bCs/>
                <w:color w:val="FFFFFF"/>
                <w:sz w:val="20"/>
                <w:szCs w:val="20"/>
              </w:rPr>
              <w:t xml:space="preserve">AUDIT TRAIL — LOG THE FOLLOWING</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Record: Date and time legal hold was issued, by whom, and to which custodians.</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Record: Acknowledgement receipt from each custodian.</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Record: Any automated deletion or overwrite policies that were suspended, and when.</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Record: Date and basis for lifting the legal hold at conclusion of proceedings.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2A4A" w:sz="8"/>
              <w:left w:val="single" w:color="1A2A4A" w:sz="8"/>
              <w:bottom w:val="single" w:color="1A2A4A" w:sz="8"/>
              <w:right w:val="single" w:color="1A2A4A" w:sz="8"/>
            </w:tcBorders>
            <w:shd w:fill="1A2A4A"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48"/>
                <w:szCs w:val="48"/>
              </w:rPr>
              <w:t xml:space="preserve">02</w:t>
            </w:r>
          </w:p>
        </w:tc>
        <w:tc>
          <w:tcPr>
            <w:tcW w:type="dxa" w:w="8160"/>
            <w:tcBorders>
              <w:top w:val="single" w:color="1A2A4A" w:sz="8"/>
              <w:left w:val="single" w:color="1A2A4A" w:sz="8"/>
              <w:bottom w:val="single" w:color="1A2A4A" w:sz="8"/>
              <w:right w:val="single" w:color="1A2A4A" w:sz="8"/>
            </w:tcBorders>
            <w:shd w:fill="2E75B6" w:val="clear"/>
            <w:tcMar>
              <w:top w:type="dxa" w:w="120"/>
              <w:left w:type="dxa" w:w="200"/>
              <w:bottom w:type="dxa" w:w="120"/>
              <w:right w:type="dxa" w:w="160"/>
            </w:tcMar>
          </w:tcPr>
          <w:p>
            <w:pPr>
              <w:spacing w:before="0" w:after="40"/>
            </w:pPr>
            <w:r>
              <w:rPr>
                <w:rFonts w:ascii="Arial" w:cs="Arial" w:eastAsia="Arial" w:hAnsi="Arial"/>
                <w:b/>
                <w:bCs/>
                <w:color w:val="FFFFFF"/>
                <w:sz w:val="32"/>
                <w:szCs w:val="32"/>
              </w:rPr>
              <w:t xml:space="preserve">Preservation</w:t>
            </w:r>
          </w:p>
          <w:p>
            <w:pPr>
              <w:spacing w:before="0" w:after="0"/>
            </w:pPr>
            <w:r>
              <w:rPr>
                <w:rFonts w:ascii="Arial" w:cs="Arial" w:eastAsia="Arial" w:hAnsi="Arial"/>
                <w:i/>
                <w:iCs/>
                <w:color w:val="BDD7EE"/>
                <w:sz w:val="20"/>
                <w:szCs w:val="20"/>
              </w:rPr>
              <w:t xml:space="preserve">Order of volatility, acquisition principles, and evidence integrity</w:t>
            </w:r>
          </w:p>
        </w:tc>
      </w:tr>
    </w:tbl>
    <w:p>
      <w:pPr>
        <w:pStyle w:val="Heading2"/>
        <w:spacing w:before="280" w:after="100"/>
      </w:pPr>
      <w:r>
        <w:rPr>
          <w:rFonts w:ascii="Arial" w:cs="Arial" w:eastAsia="Arial" w:hAnsi="Arial"/>
          <w:b/>
          <w:bCs/>
          <w:color w:val="1565C0"/>
          <w:sz w:val="28"/>
          <w:szCs w:val="28"/>
        </w:rPr>
        <w:t xml:space="preserve">2.1 Principles of Digital Preservation</w:t>
      </w:r>
    </w:p>
    <w:p>
      <w:pPr>
        <w:spacing w:before="60" w:after="60"/>
      </w:pPr>
      <w:r>
        <w:rPr>
          <w:rFonts w:ascii="Arial" w:cs="Arial" w:eastAsia="Arial" w:hAnsi="Arial"/>
          <w:sz w:val="22"/>
          <w:szCs w:val="22"/>
        </w:rPr>
        <w:t xml:space="preserve">The goal of preservation is to capture evidence in its current state without modifying it. Every interaction with a live system potentially changes evidence. Actions must be deliberate, documented, and sequenced from most volatile to least volatile.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2E75B6" w:val="clear"/>
            <w:tcMar>
              <w:top w:type="dxa" w:w="80"/>
              <w:left w:type="dxa" w:w="140"/>
              <w:bottom w:type="dxa" w:w="60"/>
              <w:right w:type="dxa" w:w="140"/>
            </w:tcMar>
          </w:tcPr>
          <w:p>
            <w:pPr>
              <w:spacing w:before="0" w:after="0"/>
            </w:pPr>
            <w:r>
              <w:rPr>
                <w:rFonts w:ascii="Arial" w:cs="Arial" w:eastAsia="Arial" w:hAnsi="Arial"/>
                <w:b/>
                <w:bCs/>
                <w:color w:val="1A2A4A"/>
                <w:sz w:val="20"/>
                <w:szCs w:val="20"/>
              </w:rPr>
              <w:t xml:space="preserve">CORE PRESERVATION PRINCIPLES</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1. Do no harm — every action must be justified and the least intrusive method used.</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2. Capture before examine — acquire first, analyse the copy. Never analyse originals.</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3. Most volatile first — follow the order of volatility without exception.</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4. Document everything — if it is not recorded, it did not happen.</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5. Verify integrity — hash at acquisition; re-hash before every examination session.</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6. Maintain continuity — someone must be able to account for every evidence item at every point in time.</w:t>
            </w:r>
          </w:p>
        </w:tc>
      </w:tr>
    </w:tbl>
    <w:p>
      <w:pPr>
        <w:pStyle w:val="Heading2"/>
        <w:spacing w:before="280" w:after="100"/>
      </w:pPr>
      <w:r>
        <w:rPr>
          <w:rFonts w:ascii="Arial" w:cs="Arial" w:eastAsia="Arial" w:hAnsi="Arial"/>
          <w:b/>
          <w:bCs/>
          <w:color w:val="1565C0"/>
          <w:sz w:val="28"/>
          <w:szCs w:val="28"/>
        </w:rPr>
        <w:t xml:space="preserve">2.2 Order of Volatility</w:t>
      </w:r>
    </w:p>
    <w:p>
      <w:pPr>
        <w:spacing w:before="60" w:after="60"/>
      </w:pPr>
      <w:r>
        <w:rPr>
          <w:rFonts w:ascii="Arial" w:cs="Arial" w:eastAsia="Arial" w:hAnsi="Arial"/>
          <w:sz w:val="22"/>
          <w:szCs w:val="22"/>
        </w:rPr>
        <w:t xml:space="preserve">Evidence must be acquired in order of volatility — most transient data first. Once a system is powered off, RAM content is lost permanently. Once logs are rotated, they are overwritten. Sequence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Volatility Order</w:t>
            </w:r>
          </w:p>
        </w:tc>
        <w:tc>
          <w:tcPr>
            <w:tcW w:type="dxa" w:w="656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1. CPU registers &amp; cache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Milliseconds — practically impossible to capture in most investigations; noted for completeness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2. RAM / Memory</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Lost on power cycle. Capture with memory acquisition tool before any other action on a live system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3. Network state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Active connections, ARP cache, routing table, open sockets — capture with netstat/ss before isolation</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4. Running processes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Process list, parent/child relationships, loaded DLLs, command-line arguments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5. Logged-on users &amp; sessions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Active sessions, logon tokens, RDP sessions — changes rapidly</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6. Clipboard / temp files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In-memory clipboard and temporary file contents — cleared on reboot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7. File system metadata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Access timestamps change on read. Image disk before browsing file system</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8. Registry (live hive)</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In-memory registry state may differ from on-disk hive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9. System logs (live)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Capture from live system before shutdown; local logs may differ from forwarded copies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10. On-disk artefacts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Prefetch, event logs, MFT, shimcache, amcache — persistent but may be overwritten over time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11. Archived / remote logs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SIEM, EDR, cloud logs — most durable; capture last in sequence but request hold immediately</w:t>
            </w:r>
          </w:p>
        </w:tc>
      </w:tr>
    </w:tbl>
    <w:p>
      <w:pPr>
        <w:pStyle w:val="Heading2"/>
        <w:spacing w:before="280" w:after="100"/>
      </w:pPr>
      <w:r>
        <w:rPr>
          <w:rFonts w:ascii="Arial" w:cs="Arial" w:eastAsia="Arial" w:hAnsi="Arial"/>
          <w:b/>
          <w:bCs/>
          <w:color w:val="1565C0"/>
          <w:sz w:val="28"/>
          <w:szCs w:val="28"/>
        </w:rPr>
        <w:t xml:space="preserve">2.3 Live System Acquisition</w:t>
      </w:r>
    </w:p>
    <w:p>
      <w:pPr>
        <w:spacing w:before="60" w:after="60"/>
      </w:pPr>
      <w:r>
        <w:rPr>
          <w:rFonts w:ascii="Arial" w:cs="Arial" w:eastAsia="Arial" w:hAnsi="Arial"/>
          <w:sz w:val="22"/>
          <w:szCs w:val="22"/>
        </w:rPr>
        <w:t xml:space="preserve">Where a system must remain running (critical production server, live malware observation), live acquisition minimises the loss of volatile evidence while the system continues to operate.</w:t>
      </w:r>
    </w:p>
    <w:p>
      <w:pPr>
        <w:pStyle w:val="ListParagraph"/>
        <w:numPr>
          <w:ilvl w:val="0"/>
          <w:numId w:val="2"/>
        </w:numPr>
        <w:spacing w:before="40" w:after="40"/>
      </w:pPr>
      <w:r>
        <w:rPr>
          <w:rFonts w:ascii="Arial" w:cs="Arial" w:eastAsia="Arial" w:hAnsi="Arial"/>
          <w:b/>
          <w:bCs/>
          <w:sz w:val="22"/>
          <w:szCs w:val="22"/>
        </w:rPr>
        <w:t xml:space="preserve">Capture RAM first using a validated forensic tool (e.g. Magnet RAM Capture, WinPmem, LiME for Linux)</w:t>
      </w:r>
    </w:p>
    <w:p>
      <w:pPr>
        <w:pStyle w:val="ListParagraph"/>
        <w:numPr>
          <w:ilvl w:val="0"/>
          <w:numId w:val="2"/>
        </w:numPr>
        <w:spacing w:before="40" w:after="40"/>
      </w:pPr>
      <w:r>
        <w:rPr>
          <w:rFonts w:ascii="Arial" w:cs="Arial" w:eastAsia="Arial" w:hAnsi="Arial"/>
          <w:b w:val="false"/>
          <w:bCs w:val="false"/>
          <w:sz w:val="22"/>
          <w:szCs w:val="22"/>
        </w:rPr>
        <w:t xml:space="preserve">Document system state at time of acquisition: uptime, logged-on users, running processes, network connections</w:t>
      </w:r>
    </w:p>
    <w:p>
      <w:pPr>
        <w:pStyle w:val="ListParagraph"/>
        <w:numPr>
          <w:ilvl w:val="0"/>
          <w:numId w:val="2"/>
        </w:numPr>
        <w:spacing w:before="40" w:after="40"/>
      </w:pPr>
      <w:r>
        <w:rPr>
          <w:rFonts w:ascii="Arial" w:cs="Arial" w:eastAsia="Arial" w:hAnsi="Arial"/>
          <w:b w:val="false"/>
          <w:bCs w:val="false"/>
          <w:sz w:val="22"/>
          <w:szCs w:val="22"/>
        </w:rPr>
        <w:t xml:space="preserve">Capture running process list with full command-line arguments and parent process relationships</w:t>
      </w:r>
    </w:p>
    <w:p>
      <w:pPr>
        <w:pStyle w:val="ListParagraph"/>
        <w:numPr>
          <w:ilvl w:val="0"/>
          <w:numId w:val="2"/>
        </w:numPr>
        <w:spacing w:before="40" w:after="40"/>
      </w:pPr>
      <w:r>
        <w:rPr>
          <w:rFonts w:ascii="Arial" w:cs="Arial" w:eastAsia="Arial" w:hAnsi="Arial"/>
          <w:b w:val="false"/>
          <w:bCs w:val="false"/>
          <w:sz w:val="22"/>
          <w:szCs w:val="22"/>
        </w:rPr>
        <w:t xml:space="preserve">Capture network state: active connections (netstat -anob), ARP table, DNS cache (ipconfig /displaydns)</w:t>
      </w:r>
    </w:p>
    <w:p>
      <w:pPr>
        <w:pStyle w:val="ListParagraph"/>
        <w:numPr>
          <w:ilvl w:val="0"/>
          <w:numId w:val="2"/>
        </w:numPr>
        <w:spacing w:before="40" w:after="40"/>
      </w:pPr>
      <w:r>
        <w:rPr>
          <w:rFonts w:ascii="Arial" w:cs="Arial" w:eastAsia="Arial" w:hAnsi="Arial"/>
          <w:b w:val="false"/>
          <w:bCs w:val="false"/>
          <w:sz w:val="22"/>
          <w:szCs w:val="22"/>
        </w:rPr>
        <w:t xml:space="preserve">Capture live registry hives if relevant (reg export or via forensic tooling)</w:t>
      </w:r>
    </w:p>
    <w:p>
      <w:pPr>
        <w:pStyle w:val="ListParagraph"/>
        <w:numPr>
          <w:ilvl w:val="0"/>
          <w:numId w:val="2"/>
        </w:numPr>
        <w:spacing w:before="40" w:after="40"/>
      </w:pPr>
      <w:r>
        <w:rPr>
          <w:rFonts w:ascii="Arial" w:cs="Arial" w:eastAsia="Arial" w:hAnsi="Arial"/>
          <w:b w:val="false"/>
          <w:bCs w:val="false"/>
          <w:sz w:val="22"/>
          <w:szCs w:val="22"/>
        </w:rPr>
        <w:t xml:space="preserve">Capture volatile log buffers — Windows Event Log service may hold events not yet flushed to disk</w:t>
      </w:r>
    </w:p>
    <w:p>
      <w:pPr>
        <w:pStyle w:val="ListParagraph"/>
        <w:numPr>
          <w:ilvl w:val="0"/>
          <w:numId w:val="2"/>
        </w:numPr>
        <w:spacing w:before="40" w:after="40"/>
      </w:pPr>
      <w:r>
        <w:rPr>
          <w:rFonts w:ascii="Arial" w:cs="Arial" w:eastAsia="Arial" w:hAnsi="Arial"/>
          <w:b w:val="false"/>
          <w:bCs w:val="false"/>
          <w:sz w:val="22"/>
          <w:szCs w:val="22"/>
        </w:rPr>
        <w:t xml:space="preserve">All tools used must be pre-validated and run from a write-protected forensic USB — do NOT install tools on the target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6"/>
              <w:left w:val="single" w:color="1E6B3C" w:sz="6"/>
              <w:bottom w:val="single" w:color="1E6B3C" w:sz="6"/>
              <w:right w:val="single" w:color="1E6B3C" w:sz="6"/>
            </w:tcBorders>
            <w:shd w:fill="1E6B3C" w:val="clear"/>
            <w:tcMar>
              <w:top w:type="dxa" w:w="80"/>
              <w:left w:type="dxa" w:w="140"/>
              <w:bottom w:type="dxa" w:w="60"/>
              <w:right w:type="dxa" w:w="140"/>
            </w:tcMar>
          </w:tcPr>
          <w:p>
            <w:pPr>
              <w:spacing w:before="0" w:after="0"/>
            </w:pPr>
            <w:r>
              <w:rPr>
                <w:rFonts w:ascii="Arial" w:cs="Arial" w:eastAsia="Arial" w:hAnsi="Arial"/>
                <w:b/>
                <w:bCs/>
                <w:color w:val="FFFFFF"/>
                <w:sz w:val="20"/>
                <w:szCs w:val="20"/>
              </w:rPr>
              <w:t xml:space="preserve">AUDIT TRAIL — LOG THE FOLLOWING</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Record: Tool name, version, and hash of every acquisition tool used.</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Record: Exact command syntax used for each acquisition step.</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Record: Hash of each acquired image/file at time of acquisition.</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Record: System time vs. UTC at point of acquisition (for timeline accuracy).</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Record: Any deviation from expected acquisition procedure and the reason.</w:t>
            </w:r>
          </w:p>
        </w:tc>
      </w:tr>
    </w:tbl>
    <w:p>
      <w:pPr>
        <w:pStyle w:val="Heading2"/>
        <w:spacing w:before="280" w:after="100"/>
      </w:pPr>
      <w:r>
        <w:rPr>
          <w:rFonts w:ascii="Arial" w:cs="Arial" w:eastAsia="Arial" w:hAnsi="Arial"/>
          <w:b/>
          <w:bCs/>
          <w:color w:val="1565C0"/>
          <w:sz w:val="28"/>
          <w:szCs w:val="28"/>
        </w:rPr>
        <w:t xml:space="preserve">2.4 Disk Imaging</w:t>
      </w:r>
    </w:p>
    <w:p>
      <w:pPr>
        <w:spacing w:before="60" w:after="60"/>
      </w:pPr>
      <w:r>
        <w:rPr>
          <w:rFonts w:ascii="Arial" w:cs="Arial" w:eastAsia="Arial" w:hAnsi="Arial"/>
          <w:sz w:val="22"/>
          <w:szCs w:val="22"/>
        </w:rPr>
        <w:t xml:space="preserve">For offline or shut-down systems, a forensic image must be acquired before any examination. The original disk is never examined directly.</w:t>
      </w:r>
    </w:p>
    <w:p>
      <w:pPr>
        <w:pStyle w:val="ListParagraph"/>
        <w:numPr>
          <w:ilvl w:val="0"/>
          <w:numId w:val="2"/>
        </w:numPr>
        <w:spacing w:before="40" w:after="40"/>
      </w:pPr>
      <w:r>
        <w:rPr>
          <w:rFonts w:ascii="Arial" w:cs="Arial" w:eastAsia="Arial" w:hAnsi="Arial"/>
          <w:b/>
          <w:bCs/>
          <w:sz w:val="22"/>
          <w:szCs w:val="22"/>
        </w:rPr>
        <w:t xml:space="preserve">Use write-blocking hardware (physical write blocker) or software write-blocking when acquiring disk images</w:t>
      </w:r>
    </w:p>
    <w:p>
      <w:pPr>
        <w:pStyle w:val="ListParagraph"/>
        <w:numPr>
          <w:ilvl w:val="0"/>
          <w:numId w:val="2"/>
        </w:numPr>
        <w:spacing w:before="40" w:after="40"/>
      </w:pPr>
      <w:r>
        <w:rPr>
          <w:rFonts w:ascii="Arial" w:cs="Arial" w:eastAsia="Arial" w:hAnsi="Arial"/>
          <w:b w:val="false"/>
          <w:bCs w:val="false"/>
          <w:sz w:val="22"/>
          <w:szCs w:val="22"/>
        </w:rPr>
        <w:t xml:space="preserve">Acquire full physical image where possible (dd, FTK Imager, Guymager) — logical images may miss unallocated space containing deleted evidence</w:t>
      </w:r>
    </w:p>
    <w:p>
      <w:pPr>
        <w:pStyle w:val="ListParagraph"/>
        <w:numPr>
          <w:ilvl w:val="0"/>
          <w:numId w:val="2"/>
        </w:numPr>
        <w:spacing w:before="40" w:after="40"/>
      </w:pPr>
      <w:r>
        <w:rPr>
          <w:rFonts w:ascii="Arial" w:cs="Arial" w:eastAsia="Arial" w:hAnsi="Arial"/>
          <w:b w:val="false"/>
          <w:bCs w:val="false"/>
          <w:sz w:val="22"/>
          <w:szCs w:val="22"/>
        </w:rPr>
        <w:t xml:space="preserve">Image to forensic container format: E01/EWF (with built-in hashing and compression) or raw dd with separate hash file</w:t>
      </w:r>
    </w:p>
    <w:p>
      <w:pPr>
        <w:pStyle w:val="ListParagraph"/>
        <w:numPr>
          <w:ilvl w:val="0"/>
          <w:numId w:val="2"/>
        </w:numPr>
        <w:spacing w:before="40" w:after="40"/>
      </w:pPr>
      <w:r>
        <w:rPr>
          <w:rFonts w:ascii="Arial" w:cs="Arial" w:eastAsia="Arial" w:hAnsi="Arial"/>
          <w:b w:val="false"/>
          <w:bCs w:val="false"/>
          <w:sz w:val="22"/>
          <w:szCs w:val="22"/>
        </w:rPr>
        <w:t xml:space="preserve">Generate MD5 and SHA-256 hash of the complete image immediately on completion — record in evidence register</w:t>
      </w:r>
    </w:p>
    <w:p>
      <w:pPr>
        <w:pStyle w:val="ListParagraph"/>
        <w:numPr>
          <w:ilvl w:val="0"/>
          <w:numId w:val="2"/>
        </w:numPr>
        <w:spacing w:before="40" w:after="40"/>
      </w:pPr>
      <w:r>
        <w:rPr>
          <w:rFonts w:ascii="Arial" w:cs="Arial" w:eastAsia="Arial" w:hAnsi="Arial"/>
          <w:b w:val="false"/>
          <w:bCs w:val="false"/>
          <w:sz w:val="22"/>
          <w:szCs w:val="22"/>
        </w:rPr>
        <w:t xml:space="preserve">Store original disk in anti-static, tamper-evident packaging and return to evidence storage immediately</w:t>
      </w:r>
    </w:p>
    <w:p>
      <w:pPr>
        <w:pStyle w:val="ListParagraph"/>
        <w:numPr>
          <w:ilvl w:val="0"/>
          <w:numId w:val="2"/>
        </w:numPr>
        <w:spacing w:before="40" w:after="40"/>
      </w:pPr>
      <w:r>
        <w:rPr>
          <w:rFonts w:ascii="Arial" w:cs="Arial" w:eastAsia="Arial" w:hAnsi="Arial"/>
          <w:b w:val="false"/>
          <w:bCs w:val="false"/>
          <w:sz w:val="22"/>
          <w:szCs w:val="22"/>
        </w:rPr>
        <w:t xml:space="preserve">Work exclusively from the verified forensic copy — never mount originals</w:t>
      </w:r>
    </w:p>
    <w:p>
      <w:pPr>
        <w:pStyle w:val="ListParagraph"/>
        <w:numPr>
          <w:ilvl w:val="0"/>
          <w:numId w:val="2"/>
        </w:numPr>
        <w:spacing w:before="40" w:after="40"/>
      </w:pPr>
      <w:r>
        <w:rPr>
          <w:rFonts w:ascii="Arial" w:cs="Arial" w:eastAsia="Arial" w:hAnsi="Arial"/>
          <w:b w:val="false"/>
          <w:bCs w:val="false"/>
          <w:sz w:val="22"/>
          <w:szCs w:val="22"/>
        </w:rPr>
        <w:t xml:space="preserve">Verify the working copy against the hash before each examination session</w:t>
      </w:r>
    </w:p>
    <w:p>
      <w:pPr>
        <w:pStyle w:val="Heading2"/>
        <w:spacing w:before="280" w:after="100"/>
      </w:pPr>
      <w:r>
        <w:rPr>
          <w:rFonts w:ascii="Arial" w:cs="Arial" w:eastAsia="Arial" w:hAnsi="Arial"/>
          <w:b/>
          <w:bCs/>
          <w:color w:val="1565C0"/>
          <w:sz w:val="28"/>
          <w:szCs w:val="28"/>
        </w:rPr>
        <w:t xml:space="preserve">2.5 What NOT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C0392B" w:val="clear"/>
            <w:tcMar>
              <w:top w:type="dxa" w:w="80"/>
              <w:left w:type="dxa" w:w="140"/>
              <w:bottom w:type="dxa" w:w="60"/>
              <w:right w:type="dxa" w:w="140"/>
            </w:tcMar>
          </w:tcPr>
          <w:p>
            <w:pPr>
              <w:spacing w:before="0" w:after="0"/>
            </w:pPr>
            <w:r>
              <w:rPr>
                <w:rFonts w:ascii="Arial" w:cs="Arial" w:eastAsia="Arial" w:hAnsi="Arial"/>
                <w:b/>
                <w:bCs/>
                <w:color w:val="FFFFFF"/>
                <w:sz w:val="20"/>
                <w:szCs w:val="20"/>
              </w:rPr>
              <w:t xml:space="preserve">PRESERVATION — ACTIONS TO AVOID</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Do NOT power off a live system unless there is an immediate safety risk — this destroys RAM evidence.</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Do NOT run antivirus scans on a potentially infected system before imaging — AV modifies files and timestamps.</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Do NOT browse the file system of a target drive before imaging — read access updates timestamps.</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Do NOT install investigation tools directly on the target system.</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Do NOT use the target system's own utilities without documenting the impact on evidence.</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Do NOT connect suspect media to an unprotected forensic workstation without write blocking.</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Do NOT take screenshots instead of proper forensic captures — screenshots are not evidence.</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Do NOT communicate investigation findings over potentially compromised channels.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2A4A" w:sz="8"/>
              <w:left w:val="single" w:color="1A2A4A" w:sz="8"/>
              <w:bottom w:val="single" w:color="1A2A4A" w:sz="8"/>
              <w:right w:val="single" w:color="1A2A4A" w:sz="8"/>
            </w:tcBorders>
            <w:shd w:fill="1A2A4A"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48"/>
                <w:szCs w:val="48"/>
              </w:rPr>
              <w:t xml:space="preserve">03</w:t>
            </w:r>
          </w:p>
        </w:tc>
        <w:tc>
          <w:tcPr>
            <w:tcW w:type="dxa" w:w="8160"/>
            <w:tcBorders>
              <w:top w:val="single" w:color="1A2A4A" w:sz="8"/>
              <w:left w:val="single" w:color="1A2A4A" w:sz="8"/>
              <w:bottom w:val="single" w:color="1A2A4A" w:sz="8"/>
              <w:right w:val="single" w:color="1A2A4A" w:sz="8"/>
            </w:tcBorders>
            <w:shd w:fill="2E75B6" w:val="clear"/>
            <w:tcMar>
              <w:top w:type="dxa" w:w="120"/>
              <w:left w:type="dxa" w:w="200"/>
              <w:bottom w:type="dxa" w:w="120"/>
              <w:right w:type="dxa" w:w="160"/>
            </w:tcMar>
          </w:tcPr>
          <w:p>
            <w:pPr>
              <w:spacing w:before="0" w:after="40"/>
            </w:pPr>
            <w:r>
              <w:rPr>
                <w:rFonts w:ascii="Arial" w:cs="Arial" w:eastAsia="Arial" w:hAnsi="Arial"/>
                <w:b/>
                <w:bCs/>
                <w:color w:val="FFFFFF"/>
                <w:sz w:val="32"/>
                <w:szCs w:val="32"/>
              </w:rPr>
              <w:t xml:space="preserve">Collection — Windows Endpoint</w:t>
            </w:r>
          </w:p>
          <w:p>
            <w:pPr>
              <w:spacing w:before="0" w:after="0"/>
            </w:pPr>
            <w:r>
              <w:rPr>
                <w:rFonts w:ascii="Arial" w:cs="Arial" w:eastAsia="Arial" w:hAnsi="Arial"/>
                <w:i/>
                <w:iCs/>
                <w:color w:val="BDD7EE"/>
                <w:sz w:val="20"/>
                <w:szCs w:val="20"/>
              </w:rPr>
              <w:t xml:space="preserve">Memory, disk artefacts, logs, and triage collection methodology</w:t>
            </w:r>
          </w:p>
        </w:tc>
      </w:tr>
    </w:tbl>
    <w:p>
      <w:pPr>
        <w:pStyle w:val="Heading2"/>
        <w:spacing w:before="280" w:after="100"/>
      </w:pPr>
      <w:r>
        <w:rPr>
          <w:rFonts w:ascii="Arial" w:cs="Arial" w:eastAsia="Arial" w:hAnsi="Arial"/>
          <w:b/>
          <w:bCs/>
          <w:color w:val="1565C0"/>
          <w:sz w:val="28"/>
          <w:szCs w:val="28"/>
        </w:rPr>
        <w:t xml:space="preserve">3.1 Triage Collection Overview</w:t>
      </w:r>
    </w:p>
    <w:p>
      <w:pPr>
        <w:spacing w:before="60" w:after="60"/>
      </w:pPr>
      <w:r>
        <w:rPr>
          <w:rFonts w:ascii="Arial" w:cs="Arial" w:eastAsia="Arial" w:hAnsi="Arial"/>
          <w:sz w:val="22"/>
          <w:szCs w:val="22"/>
        </w:rPr>
        <w:t xml:space="preserve">For large-scale enterprise incidents, full disk imaging of every affected endpoint is rarely practical. A triage collection approach targets the highest-value artefacts rapidly, enabling faster initial analysis while full imaging proceeds on priority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6"/>
              <w:left w:val="single" w:color="B7770D" w:sz="6"/>
              <w:bottom w:val="single" w:color="B7770D" w:sz="6"/>
              <w:right w:val="single" w:color="B7770D" w:sz="6"/>
            </w:tcBorders>
            <w:shd w:fill="B7770D" w:val="clear"/>
            <w:tcMar>
              <w:top w:type="dxa" w:w="80"/>
              <w:left w:type="dxa" w:w="140"/>
              <w:bottom w:type="dxa" w:w="60"/>
              <w:right w:type="dxa" w:w="140"/>
            </w:tcMar>
          </w:tcPr>
          <w:p>
            <w:pPr>
              <w:spacing w:before="0" w:after="0"/>
            </w:pPr>
            <w:r>
              <w:rPr>
                <w:rFonts w:ascii="Arial" w:cs="Arial" w:eastAsia="Arial" w:hAnsi="Arial"/>
                <w:b/>
                <w:bCs/>
                <w:color w:val="1A2A4A"/>
                <w:sz w:val="20"/>
                <w:szCs w:val="20"/>
              </w:rPr>
              <w:t xml:space="preserve">TRIAGE vs. FULL IMAGE — DECISION CRITERIA</w:t>
            </w:r>
          </w:p>
        </w:tc>
      </w:tr>
      <w:tr>
        <w:tc>
          <w:tcPr>
            <w:tcW w:type="dxa" w:w="9360"/>
            <w:tcBorders>
              <w:top w:val="single" w:color="B7770D" w:sz="4"/>
              <w:left w:val="single" w:color="B7770D" w:sz="4"/>
              <w:bottom w:val="single" w:color="B7770D" w:sz="4"/>
              <w:right w:val="single" w:color="B7770D" w:sz="4"/>
            </w:tcBorders>
            <w:shd w:fill="FEF9E7" w:val="clear"/>
            <w:tcMar>
              <w:top w:type="dxa" w:w="60"/>
              <w:left w:type="dxa" w:w="140"/>
              <w:bottom w:type="dxa" w:w="60"/>
              <w:right w:type="dxa" w:w="140"/>
            </w:tcMar>
          </w:tcPr>
          <w:p>
            <w:pPr>
              <w:spacing w:before="20" w:after="20"/>
            </w:pPr>
            <w:r>
              <w:rPr>
                <w:rFonts w:ascii="Arial" w:cs="Arial" w:eastAsia="Arial" w:hAnsi="Arial"/>
                <w:sz w:val="21"/>
                <w:szCs w:val="21"/>
              </w:rPr>
              <w:t xml:space="preserve">FULL IMAGE: Known high-value target (patient zero, domain controller, jump server, privileged user). Potential for criminal proceedings. Data exfiltration from this specific host is suspected.</w:t>
            </w:r>
          </w:p>
        </w:tc>
      </w:tr>
      <w:tr>
        <w:tc>
          <w:tcPr>
            <w:tcW w:type="dxa" w:w="9360"/>
            <w:tcBorders>
              <w:top w:val="single" w:color="B7770D" w:sz="4"/>
              <w:left w:val="single" w:color="B7770D" w:sz="4"/>
              <w:bottom w:val="single" w:color="B7770D" w:sz="4"/>
              <w:right w:val="single" w:color="B7770D" w:sz="4"/>
            </w:tcBorders>
            <w:shd w:fill="FEF9E7" w:val="clear"/>
            <w:tcMar>
              <w:top w:type="dxa" w:w="60"/>
              <w:left w:type="dxa" w:w="140"/>
              <w:bottom w:type="dxa" w:w="60"/>
              <w:right w:type="dxa" w:w="140"/>
            </w:tcMar>
          </w:tcPr>
          <w:p>
            <w:pPr>
              <w:spacing w:before="20" w:after="20"/>
            </w:pPr>
            <w:r>
              <w:rPr>
                <w:rFonts w:ascii="Arial" w:cs="Arial" w:eastAsia="Arial" w:hAnsi="Arial"/>
                <w:sz w:val="21"/>
                <w:szCs w:val="21"/>
              </w:rPr>
              <w:t xml:space="preserve">TRIAGE COLLECTION: Large-scale outbreak with many affected endpoints. Speed of initial analysis is critical. Full imaging to follow on priority subset.</w:t>
            </w:r>
          </w:p>
        </w:tc>
      </w:tr>
      <w:tr>
        <w:tc>
          <w:tcPr>
            <w:tcW w:type="dxa" w:w="9360"/>
            <w:tcBorders>
              <w:top w:val="single" w:color="B7770D" w:sz="4"/>
              <w:left w:val="single" w:color="B7770D" w:sz="4"/>
              <w:bottom w:val="single" w:color="B7770D" w:sz="4"/>
              <w:right w:val="single" w:color="B7770D" w:sz="4"/>
            </w:tcBorders>
            <w:shd w:fill="FEF9E7" w:val="clear"/>
            <w:tcMar>
              <w:top w:type="dxa" w:w="60"/>
              <w:left w:type="dxa" w:w="140"/>
              <w:bottom w:type="dxa" w:w="60"/>
              <w:right w:type="dxa" w:w="140"/>
            </w:tcMar>
          </w:tcPr>
          <w:p>
            <w:pPr>
              <w:spacing w:before="20" w:after="20"/>
            </w:pPr>
            <w:r>
              <w:rPr>
                <w:rFonts w:ascii="Arial" w:cs="Arial" w:eastAsia="Arial" w:hAnsi="Arial"/>
                <w:sz w:val="21"/>
                <w:szCs w:val="21"/>
              </w:rPr>
              <w:t xml:space="preserve">BOTH: Collect triage artefacts from all in-scope systems immediately; full image priority systems in parallel.</w:t>
            </w:r>
          </w:p>
        </w:tc>
      </w:tr>
    </w:tbl>
    <w:p>
      <w:pPr>
        <w:pStyle w:val="Heading2"/>
        <w:spacing w:before="280" w:after="100"/>
      </w:pPr>
      <w:r>
        <w:rPr>
          <w:rFonts w:ascii="Arial" w:cs="Arial" w:eastAsia="Arial" w:hAnsi="Arial"/>
          <w:b/>
          <w:bCs/>
          <w:color w:val="1565C0"/>
          <w:sz w:val="28"/>
          <w:szCs w:val="28"/>
        </w:rPr>
        <w:t xml:space="preserve">3.2 Memory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Artefact</w:t>
            </w:r>
          </w:p>
        </w:tc>
        <w:tc>
          <w:tcPr>
            <w:tcW w:type="dxa" w:w="348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Location / Source</w:t>
            </w:r>
          </w:p>
        </w:tc>
        <w:tc>
          <w:tcPr>
            <w:tcW w:type="dxa" w:w="368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Investigation Value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RAM Image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Full physical memory dump</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Encryption keys, injected code, attacker tools, credentials in memory, C2 comms, running processes with no on-disk presence</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Pagefile / Hiberfil</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pagefile.sys, hiberfil.sys — on-disk memory extensions</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May contain artefacts from previous sessions; hibernation file captures full memory state at sleep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Crash Dumps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%SystemRoot%\Minidump\, %SystemRoot%\MEMORY.DMP</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May capture prior malware execution state; useful if system crashed during attack</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Virtual Memory</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Virtual machine snapshots or .vmem files</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Full memory state for VM-based workloads; often more accessible than live acquisition</w:t>
            </w:r>
          </w:p>
        </w:tc>
      </w:tr>
    </w:tbl>
    <w:p>
      <w:pPr>
        <w:pStyle w:val="Heading2"/>
        <w:spacing w:before="280" w:after="100"/>
      </w:pPr>
      <w:r>
        <w:rPr>
          <w:rFonts w:ascii="Arial" w:cs="Arial" w:eastAsia="Arial" w:hAnsi="Arial"/>
          <w:b/>
          <w:bCs/>
          <w:color w:val="1565C0"/>
          <w:sz w:val="28"/>
          <w:szCs w:val="28"/>
        </w:rPr>
        <w:t xml:space="preserve">3.3 Windows Log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Log Source</w:t>
            </w:r>
          </w:p>
        </w:tc>
        <w:tc>
          <w:tcPr>
            <w:tcW w:type="dxa" w:w="348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Path</w:t>
            </w:r>
          </w:p>
        </w:tc>
        <w:tc>
          <w:tcPr>
            <w:tcW w:type="dxa" w:w="368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Key Events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Security Event Log</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C:\Windows\System32\winevt\Logs\Security.evtx</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Logon/logoff (4624/4625/4634), account creation (4720), privilege use (4672), process creation (4688), object access (4663)</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System Event Log</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C:\Windows\System32\winevt\Logs\System.evtx</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Service installs, driver loads, system errors, USB device connections, unexpected reboots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Application Event Log</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C:\Windows\System32\winevt\Logs\Application.evtx</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Application crashes, AV detections, backup failures, database errors</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PowerShell Logs</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Microsoft-Windows-PowerShell/Operational.evtx, ScriptBlock</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Script block logging captures full PS commands; critical for detecting living-off-the-land attacks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Sysmon Logs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Microsoft-Windows-Sysmon/Operational.evtx</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Process creation with hashes, network connections, file creation, registry changes, pipe events — highest value if deployed</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WMI Activity</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Microsoft-Windows-WMI-Activity/Operational.evtx</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WMI-based persistence and lateral movement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Task Scheduler</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Microsoft-Windows-TaskScheduler/Operational.evtx</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Scheduled task creation/modification — common persistence mechanism</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Windows Defender</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Microsoft-Windows-Windows Defender/Operational.evtx</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Malware detections, scan events, exclusions added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RDP / Remote Desktop</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Microsoft-Windows-TerminalServices-*.evtx</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RDP session creation, logon source IPs, session duration</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Bits Client</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Microsoft-Windows-Bits-Client/Operational.evtx</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Background file transfers — used for malware download and data exfiltration</w:t>
            </w:r>
          </w:p>
        </w:tc>
      </w:tr>
    </w:tbl>
    <w:p>
      <w:pPr>
        <w:pStyle w:val="Heading2"/>
        <w:spacing w:before="280" w:after="100"/>
      </w:pPr>
      <w:r>
        <w:rPr>
          <w:rFonts w:ascii="Arial" w:cs="Arial" w:eastAsia="Arial" w:hAnsi="Arial"/>
          <w:b/>
          <w:bCs/>
          <w:color w:val="1565C0"/>
          <w:sz w:val="28"/>
          <w:szCs w:val="28"/>
        </w:rPr>
        <w:t xml:space="preserve">3.4 File System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Artefact</w:t>
            </w:r>
          </w:p>
        </w:tc>
        <w:tc>
          <w:tcPr>
            <w:tcW w:type="dxa" w:w="348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Location</w:t>
            </w:r>
          </w:p>
        </w:tc>
        <w:tc>
          <w:tcPr>
            <w:tcW w:type="dxa" w:w="368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Investigation Value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MFT ($MFT)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Root of each NTFS volume — requires raw extraction</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Complete file metadata: creation, modification, access, MFT entry times for all files including deleted</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Prefetch</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C:\Windows\Prefetch\*.pf</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Evidence of program execution: executable name, run count, last eight run times, files accessed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Amcache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C:\Windows\AppCompat\Programs\Amcache.hve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Program execution history: SHA-1 hash, file path, publisher, install date — persists after deletion</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Shimcache / AppCompat</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SYSTEM registry hive — HKLM\SYSTEM\CurrentControlSet\Control\Session Manager\AppCompatCache</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Records executables that were present on the system — even if never run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Jump Lists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%AppData%\Microsoft\Windows\Recent\AutomaticDestinations\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Recently accessed files per application — useful for user activity and data staging</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LNK Files</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%AppData%\Microsoft\Windows\Recent\*.lnk</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Shortcut files: original file path, timestamps, volume serial number, MAC address of source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Recycle Bin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C:\$Recycle.Bin\{SID}\</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$I files contain original path and deletion timestamp; $R files contain original content</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VSS / Shadow Copies</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Accessible via forensic tools or vssadmin list shadows</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Historical snapshots — may contain earlier versions of files modified or deleted by attacker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Browser Artefacts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User profile — varies by browser (Chrome: SQLite DBs, Firefox: places.sqlite)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Downloads, visited URLs, cached content, saved credentials — relevant for phishing/initial access</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Thumbcache / Thumbs.db</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User profile\AppData\Local\Microsoft\Windows\Explorer\</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Thumbnail cache: evidence of images/documents viewed even if originals deleted</w:t>
            </w:r>
          </w:p>
        </w:tc>
      </w:tr>
    </w:tbl>
    <w:p>
      <w:pPr>
        <w:pStyle w:val="Heading2"/>
        <w:spacing w:before="280" w:after="100"/>
      </w:pPr>
      <w:r>
        <w:rPr>
          <w:rFonts w:ascii="Arial" w:cs="Arial" w:eastAsia="Arial" w:hAnsi="Arial"/>
          <w:b/>
          <w:bCs/>
          <w:color w:val="1565C0"/>
          <w:sz w:val="28"/>
          <w:szCs w:val="28"/>
        </w:rPr>
        <w:t xml:space="preserve">3.5 Registry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Artefact</w:t>
            </w:r>
          </w:p>
        </w:tc>
        <w:tc>
          <w:tcPr>
            <w:tcW w:type="dxa" w:w="348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Registry Path / Location</w:t>
            </w:r>
          </w:p>
        </w:tc>
        <w:tc>
          <w:tcPr>
            <w:tcW w:type="dxa" w:w="368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Investigation Value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Run / RunOnce Keys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HKLM/HKCU\Software\Microsoft\Windows\CurrentVersion\Run</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Persistence: programs configured to run at startup</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Services</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HKLM\SYSTEM\CurrentControlSet\Services\</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Malicious service installation — common persistence and privilege escalation mechanism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SAM Hive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C:\Windows\System32\config\SAM</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Local user accounts and password hashes — evidence of account creation or modification</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USER Assist</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HKCU\Software\Microsoft\Windows\CurrentVersion\Explorer\UserAssist</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GUI program execution history with run count and last execution time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BAM / DAM</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HKLM\SYSTEM\CurrentControlSet\Services\bam\State\UserSettings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Background Activity Moderator — program execution history with last run time</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MuiCache</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HKCU\Software\Classes\Local Settings\Software\Microsoft\Windows\Shell\MuiCache</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File description of executed programs — persists even after file deletion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ShimCache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HKLM\SYSTEM\CurrentControlSet\Control\Session Manager\AppCompatCache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Application compatibility cache — evidence of file presence and execution</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Network Interfaces</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HKLM\SYSTEM\CurrentControlSet\Services\Tcpip\Parameters\Interfaces</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Historical network configuration, IP addresses, DNS servers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USB Devices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HKLM\SYSTEM\CurrentControlSet\Enum\USBSTOR\</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All USB storage devices ever connected: device ID, serial number, first/last connection</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Time Zone</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HKLM\SYSTEM\CurrentControlSet\Control\TimeZoneInformation</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Required for accurate timeline construction — all timestamps must be converted to UTC</w:t>
            </w:r>
          </w:p>
        </w:tc>
      </w:tr>
    </w:tbl>
    <w:p>
      <w:pPr>
        <w:pStyle w:val="Heading2"/>
        <w:spacing w:before="280" w:after="100"/>
      </w:pPr>
      <w:r>
        <w:rPr>
          <w:rFonts w:ascii="Arial" w:cs="Arial" w:eastAsia="Arial" w:hAnsi="Arial"/>
          <w:b/>
          <w:bCs/>
          <w:color w:val="1565C0"/>
          <w:sz w:val="28"/>
          <w:szCs w:val="28"/>
        </w:rPr>
        <w:t xml:space="preserve">3.6 Additional Endpoint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Artefact</w:t>
            </w:r>
          </w:p>
        </w:tc>
        <w:tc>
          <w:tcPr>
            <w:tcW w:type="dxa" w:w="348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Location</w:t>
            </w:r>
          </w:p>
        </w:tc>
        <w:tc>
          <w:tcPr>
            <w:tcW w:type="dxa" w:w="368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Investigation Value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NTFS $LogFile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Root of NTFS volume — raw extraction required</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File system journal — records file creation, modification, deletion with timestamps</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$UsnJrnl</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$Extend\$UsnJrnl on each volume</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USN Change Journal — records every file change; useful for reconstructing attacker file activity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Scheduled Tasks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C:\Windows\System32\Tasks\, C:\Windows\SysWOW64\Tasks\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XML task definitions — creation time, trigger, action, user context</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WMI Repository</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C:\Windows\System32\wbem\Repository\</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WMI-based persistence: event subscriptions, filters, consumers — used by advanced malware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BITS Jobs DB</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C:\ProgramData\Microsoft\Network\Downloader\</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Background transfer history — uploads and downloads including exfiltration</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Windows.edb / ESE DB</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C:\ProgramData\Microsoft\Search\Data\</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Windows Search index — may contain indexed content from files subsequently deleted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Network Shares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HKLM\SYSTEM\CurrentControlSet\Services\LanmanServer\Shares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Configured shares — attacker may have created shares for lateral movement or data staging</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Hosts File</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C:\Windows\System32\drivers\etc\hosts</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DNS hijacking — attackers modify hosts file to redirect traffic or disable security tools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Startup Folders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C:\ProgramData\Microsoft\Windows\Start Menu\Programs\Startup\</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Persistence via startup folder items</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Installed Software</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HKLM\SOFTWARE\Microsoft\Windows\CurrentVersion\Uninstall\</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Software installed including malicious tools; compare against known-good baseline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6"/>
              <w:left w:val="single" w:color="1E6B3C" w:sz="6"/>
              <w:bottom w:val="single" w:color="1E6B3C" w:sz="6"/>
              <w:right w:val="single" w:color="1E6B3C" w:sz="6"/>
            </w:tcBorders>
            <w:shd w:fill="1E6B3C" w:val="clear"/>
            <w:tcMar>
              <w:top w:type="dxa" w:w="80"/>
              <w:left w:type="dxa" w:w="140"/>
              <w:bottom w:type="dxa" w:w="60"/>
              <w:right w:type="dxa" w:w="140"/>
            </w:tcMar>
          </w:tcPr>
          <w:p>
            <w:pPr>
              <w:spacing w:before="0" w:after="0"/>
            </w:pPr>
            <w:r>
              <w:rPr>
                <w:rFonts w:ascii="Arial" w:cs="Arial" w:eastAsia="Arial" w:hAnsi="Arial"/>
                <w:b/>
                <w:bCs/>
                <w:color w:val="FFFFFF"/>
                <w:sz w:val="20"/>
                <w:szCs w:val="20"/>
              </w:rPr>
              <w:t xml:space="preserve">AUDIT TRAIL — LOG THE FOLLOWING</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Record: Every collection action with timestamp, tool used, and hash of output.</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Record: System time skew observed at time of collection (compare system clock to NTP/UTC).</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Record: Any artefact that was expected but absent — absence is evidence.</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Record: Collection tool versions and hashes (stored on separate evidence register entry).</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Verify: Hash all collected artefacts immediately. Record in evidence register before analysis begins.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2A4A" w:sz="8"/>
              <w:left w:val="single" w:color="1A2A4A" w:sz="8"/>
              <w:bottom w:val="single" w:color="1A2A4A" w:sz="8"/>
              <w:right w:val="single" w:color="1A2A4A" w:sz="8"/>
            </w:tcBorders>
            <w:shd w:fill="1A2A4A"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48"/>
                <w:szCs w:val="48"/>
              </w:rPr>
              <w:t xml:space="preserve">04</w:t>
            </w:r>
          </w:p>
        </w:tc>
        <w:tc>
          <w:tcPr>
            <w:tcW w:type="dxa" w:w="8160"/>
            <w:tcBorders>
              <w:top w:val="single" w:color="1A2A4A" w:sz="8"/>
              <w:left w:val="single" w:color="1A2A4A" w:sz="8"/>
              <w:bottom w:val="single" w:color="1A2A4A" w:sz="8"/>
              <w:right w:val="single" w:color="1A2A4A" w:sz="8"/>
            </w:tcBorders>
            <w:shd w:fill="2E75B6" w:val="clear"/>
            <w:tcMar>
              <w:top w:type="dxa" w:w="120"/>
              <w:left w:type="dxa" w:w="200"/>
              <w:bottom w:type="dxa" w:w="120"/>
              <w:right w:type="dxa" w:w="160"/>
            </w:tcMar>
          </w:tcPr>
          <w:p>
            <w:pPr>
              <w:spacing w:before="0" w:after="40"/>
            </w:pPr>
            <w:r>
              <w:rPr>
                <w:rFonts w:ascii="Arial" w:cs="Arial" w:eastAsia="Arial" w:hAnsi="Arial"/>
                <w:b/>
                <w:bCs/>
                <w:color w:val="FFFFFF"/>
                <w:sz w:val="32"/>
                <w:szCs w:val="32"/>
              </w:rPr>
              <w:t xml:space="preserve">Collection — Network &amp; Perimeter Artefacts</w:t>
            </w:r>
          </w:p>
          <w:p>
            <w:pPr>
              <w:spacing w:before="0" w:after="0"/>
            </w:pPr>
            <w:r>
              <w:rPr>
                <w:rFonts w:ascii="Arial" w:cs="Arial" w:eastAsia="Arial" w:hAnsi="Arial"/>
                <w:i/>
                <w:iCs/>
                <w:color w:val="BDD7EE"/>
                <w:sz w:val="20"/>
                <w:szCs w:val="20"/>
              </w:rPr>
              <w:t xml:space="preserve">Firewall, proxy, DNS, IDS/IPS, AV/EDR, email, and authentication logs</w:t>
            </w:r>
          </w:p>
        </w:tc>
      </w:tr>
    </w:tbl>
    <w:p>
      <w:pPr>
        <w:pStyle w:val="Heading2"/>
        <w:spacing w:before="280" w:after="100"/>
      </w:pPr>
      <w:r>
        <w:rPr>
          <w:rFonts w:ascii="Arial" w:cs="Arial" w:eastAsia="Arial" w:hAnsi="Arial"/>
          <w:b/>
          <w:bCs/>
          <w:color w:val="1565C0"/>
          <w:sz w:val="28"/>
          <w:szCs w:val="28"/>
        </w:rPr>
        <w:t xml:space="preserve">4.1 Network Artefact Priority</w:t>
      </w:r>
    </w:p>
    <w:p>
      <w:pPr>
        <w:spacing w:before="60" w:after="60"/>
      </w:pPr>
      <w:r>
        <w:rPr>
          <w:rFonts w:ascii="Arial" w:cs="Arial" w:eastAsia="Arial" w:hAnsi="Arial"/>
          <w:sz w:val="22"/>
          <w:szCs w:val="22"/>
        </w:rPr>
        <w:t xml:space="preserve">Network artefacts provide context that endpoint artefacts alone cannot — they reveal communication with external infrastructure, lateral movement paths, data exfiltration volumes, and attacker TTPs across the entire environment rather than a single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2E75B6" w:val="clear"/>
            <w:tcMar>
              <w:top w:type="dxa" w:w="80"/>
              <w:left w:type="dxa" w:w="140"/>
              <w:bottom w:type="dxa" w:w="60"/>
              <w:right w:type="dxa" w:w="140"/>
            </w:tcMar>
          </w:tcPr>
          <w:p>
            <w:pPr>
              <w:spacing w:before="0" w:after="0"/>
            </w:pPr>
            <w:r>
              <w:rPr>
                <w:rFonts w:ascii="Arial" w:cs="Arial" w:eastAsia="Arial" w:hAnsi="Arial"/>
                <w:b/>
                <w:bCs/>
                <w:color w:val="1A2A4A"/>
                <w:sz w:val="20"/>
                <w:szCs w:val="20"/>
              </w:rPr>
              <w:t xml:space="preserve">NETWORK COLLECTION PRIORITY ORDER</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1. EDR / XDR telemetry — highest fidelity process and network visibility; request hold and export immediately.</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2. Firewall / NGF logs — external connections, denied traffic, unusual outbound volumes.</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3. Proxy / web gateway — full URL logs revealing C2 beaconing, data upload, and tool download.</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4. DNS logs — domain lookups revealing C2 infrastructure, DGA activity, and data exfiltration via DNS.</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5. Authentication / IAM logs — AD, RADIUS, MFA — logon patterns, lateral movement, privilege escalation.</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6. Email gateway — phishing initial access, BEC, internal data sharing.</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7. IDS / IPS — signature-matched alerts providing immediate IOC context.</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8. NetFlow / IPFIX — traffic metadata for volumetric analysis and exfiltration estimation.</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9. Full packet capture (PCAP) — only if available; not ubiquitous but highest fidelity for network reconstruction.</w:t>
            </w:r>
          </w:p>
        </w:tc>
      </w:tr>
    </w:tbl>
    <w:p>
      <w:pPr>
        <w:pStyle w:val="Heading2"/>
        <w:spacing w:before="280" w:after="100"/>
      </w:pPr>
      <w:r>
        <w:rPr>
          <w:rFonts w:ascii="Arial" w:cs="Arial" w:eastAsia="Arial" w:hAnsi="Arial"/>
          <w:b/>
          <w:bCs/>
          <w:color w:val="1565C0"/>
          <w:sz w:val="28"/>
          <w:szCs w:val="28"/>
        </w:rPr>
        <w:t xml:space="preserve">4.2 Perimeter &amp; Network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Source</w:t>
            </w:r>
          </w:p>
        </w:tc>
        <w:tc>
          <w:tcPr>
            <w:tcW w:type="dxa" w:w="348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Platform Examples</w:t>
            </w:r>
          </w:p>
        </w:tc>
        <w:tc>
          <w:tcPr>
            <w:tcW w:type="dxa" w:w="368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Investigation Value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Next-Gen Firewall</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Palo Alto, Fortinet, Check Point, Cisco FTD — syslog or SIEM feed</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Inbound/outbound allow/deny, application-layer inspection, URL categories, byte counts per session</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IDS / IPS</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Snort, Suricata, Darktrace, network taps</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Signature alerts, anomaly detections — cross-reference with endpoint findings for correlation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Web Proxy / SWG</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Zscaler, Blue Coat, Squid, Cisco WSA — access logs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Full URL requests including query strings, POST body sizes, user-agent strings, response codes</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DNS Logs</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Internal DNS server logs, Infoblox, Umbrella, DNS sinkhole</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All domain lookups: source IP, queried domain, response — detect DGA, C2 beaconing, data exfiltration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NetFlow / IPFIX</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Router/switch exports, Scrutinizer, ntopng, Zeek</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Traffic metadata: src/dst IP, port, protocol, bytes transferred, duration — exfiltration volume estimation</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PCAP</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Network taps, SPAN ports, SecurityOnion, Arkime/Moloch</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Full packet capture: reconstruct sessions, extract transferred files, decode protocols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Load Balancer Logs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F5, HAProxy, AWS ALB, Azure Front Door access logs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Inbound request metadata — useful for identifying scanning, exploitation of web-facing services</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VPN Logs</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Pulse, GlobalProtect, Cisco AnyConnect, Azure VPN Gateway</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Remote access sessions: user, source IP, connection duration, bytes — identify unusual geographic access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Wi-Fi / NAC</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RADIUS logs, Cisco ISE, Aruba ClearPass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Wireless authentication: device MAC, user, SSID, location — identify rogue devices or unusual connections</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Network TAP / SPAN</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Physical/virtual taps on critical segments</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Passive capture on IT/OT boundary, domain controller traffic, privileged access zones</w:t>
            </w:r>
          </w:p>
        </w:tc>
      </w:tr>
    </w:tbl>
    <w:p>
      <w:pPr>
        <w:pStyle w:val="Heading2"/>
        <w:spacing w:before="280" w:after="100"/>
      </w:pPr>
      <w:r>
        <w:rPr>
          <w:rFonts w:ascii="Arial" w:cs="Arial" w:eastAsia="Arial" w:hAnsi="Arial"/>
          <w:b/>
          <w:bCs/>
          <w:color w:val="1565C0"/>
          <w:sz w:val="28"/>
          <w:szCs w:val="28"/>
        </w:rPr>
        <w:t xml:space="preserve">4.3 Security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Source</w:t>
            </w:r>
          </w:p>
        </w:tc>
        <w:tc>
          <w:tcPr>
            <w:tcW w:type="dxa" w:w="348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Platform Examples</w:t>
            </w:r>
          </w:p>
        </w:tc>
        <w:tc>
          <w:tcPr>
            <w:tcW w:type="dxa" w:w="368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Investigation Value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EDR / XDR Platform</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CrowdStrike Falcon, Microsoft Defender for Endpoint, SentinelOne, Carbon Black</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Process telemetry, network connections, file writes, registry changes, memory injection — highest fidelity endpoint visibility</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AV / Endpoint Security</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Sophos, Trend Micro, McAfee — detection and quarantine logs</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Malware detections, quarantined files (preserve before deletion), excluded paths (may indicate attacker-modified exclusions)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SIEM</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Splunk, Microsoft Sentinel, QRadar, Elastic SIEM</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Aggregated log repository — search across all sources; retention policy is critical; request hold on relevant time period</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SOAR Platform</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Palo Alto XSOAR, Splunk SOAR — playbook execution logs</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Automated response actions taken — understand what was already actioned before manual investigation began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DLP</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Symantec DLP, Microsoft Purview, Forcepoint</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Data in motion: files transferred, print events, cloud uploads, email attachments — critical for exfiltration scoping</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UEBA</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Microsoft Sentinel UEBA, Securonix, Exabeam</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User behaviour anomalies: impossible travel, unusual access times, data access spikes — insider and account compromise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Vulnerability Scanner</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Qualys, Tenable, Rapid7 — scan history</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Identifies unpatched systems that may have been initial access vector; validates patch state at time of incident</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PAM Platform</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CyberArk, BeyondTrust, Thycotic — privileged session logs</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Full session recording of privileged access — may capture attacker commands on critical systems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Network Detection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Darktrace, Vectra, ExtraHop</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AI/ML-based anomaly detection — may have captured pre-detection lateral movement the SOC did not alert on</w:t>
            </w:r>
          </w:p>
        </w:tc>
      </w:tr>
    </w:tbl>
    <w:p>
      <w:pPr>
        <w:pStyle w:val="Heading2"/>
        <w:spacing w:before="280" w:after="100"/>
      </w:pPr>
      <w:r>
        <w:rPr>
          <w:rFonts w:ascii="Arial" w:cs="Arial" w:eastAsia="Arial" w:hAnsi="Arial"/>
          <w:b/>
          <w:bCs/>
          <w:color w:val="1565C0"/>
          <w:sz w:val="28"/>
          <w:szCs w:val="28"/>
        </w:rPr>
        <w:t xml:space="preserve">4.4 Identity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Source</w:t>
            </w:r>
          </w:p>
        </w:tc>
        <w:tc>
          <w:tcPr>
            <w:tcW w:type="dxa" w:w="348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Platform Examples</w:t>
            </w:r>
          </w:p>
        </w:tc>
        <w:tc>
          <w:tcPr>
            <w:tcW w:type="dxa" w:w="368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Investigation Value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Active Directory</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Domain Controller Security Event Logs — 4624, 4625, 4648, 4768, 4769, 4776</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All logon events, Kerberos ticket requests, NTLM auth, pass-the-hash/ticket indicators, account lockouts</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Azure AD / Entra ID</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Azure AD Sign-In Logs, Audit Logs — via Entra portal or Log Analytics</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Cloud logon events, MFA prompts and bypasses, conditional access outcomes, token issuance, app registrations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MFA Platform</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Duo, Okta, Microsoft Authenticator — authentication logs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MFA challenge/response: success, failure, method used, source IP — identify MFA fatigue or bypass attempts</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RADIUS / NPS</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Windows NPS logs, FreeRADIUS</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Network access authentication — VPN, Wi-Fi, 802.1X device authentication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PAM / Privileged Access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CyberArk, BeyondTrust — checkout and session logs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Which privileged accounts were checked out, by whom, when, and what actions were taken</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SSO / Identity Provider</w:t>
            </w:r>
          </w:p>
        </w:tc>
        <w:tc>
          <w:tcPr>
            <w:tcW w:type="dxa" w:w="34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Okta, Ping Identity, ADFS — federation and SSO logs</w:t>
            </w:r>
          </w:p>
        </w:tc>
        <w:tc>
          <w:tcPr>
            <w:tcW w:type="dxa" w:w="3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Application access via SSO — reveals which apps were accessed using potentially compromised credentials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Email Platform</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Exchange Online/on-prem, Google Workspace — message trace, admin audit</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Message trace for phishing delivery, email forwarding rules (exfiltration), admin actions, mailbox delegations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6"/>
              <w:left w:val="single" w:color="1E6B3C" w:sz="6"/>
              <w:bottom w:val="single" w:color="1E6B3C" w:sz="6"/>
              <w:right w:val="single" w:color="1E6B3C" w:sz="6"/>
            </w:tcBorders>
            <w:shd w:fill="1E6B3C" w:val="clear"/>
            <w:tcMar>
              <w:top w:type="dxa" w:w="80"/>
              <w:left w:type="dxa" w:w="140"/>
              <w:bottom w:type="dxa" w:w="60"/>
              <w:right w:type="dxa" w:w="140"/>
            </w:tcMar>
          </w:tcPr>
          <w:p>
            <w:pPr>
              <w:spacing w:before="0" w:after="0"/>
            </w:pPr>
            <w:r>
              <w:rPr>
                <w:rFonts w:ascii="Arial" w:cs="Arial" w:eastAsia="Arial" w:hAnsi="Arial"/>
                <w:b/>
                <w:bCs/>
                <w:color w:val="FFFFFF"/>
                <w:sz w:val="20"/>
                <w:szCs w:val="20"/>
              </w:rPr>
              <w:t xml:space="preserve">AUDIT TRAIL — LOG THE FOLLOWING</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Request log retention hold on all sources immediately — do not wait for scoping to complete.</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Record: Log retention periods for each source — gaps in retention must be documented.</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Record: Any log sources that were unavailable, disabled, or had gaps during the incident timeframe.</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Record: Configuration of log forwarding — were logs being forwarded to SIEM at the time of the incident?</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Verify: Log integrity where possible — some platforms provide tamper-evident logging (Azure Activity Log, CloudTrail).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2A4A" w:sz="8"/>
              <w:left w:val="single" w:color="1A2A4A" w:sz="8"/>
              <w:bottom w:val="single" w:color="1A2A4A" w:sz="8"/>
              <w:right w:val="single" w:color="1A2A4A" w:sz="8"/>
            </w:tcBorders>
            <w:shd w:fill="1A2A4A"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48"/>
                <w:szCs w:val="48"/>
              </w:rPr>
              <w:t xml:space="preserve">05</w:t>
            </w:r>
          </w:p>
        </w:tc>
        <w:tc>
          <w:tcPr>
            <w:tcW w:type="dxa" w:w="8160"/>
            <w:tcBorders>
              <w:top w:val="single" w:color="1A2A4A" w:sz="8"/>
              <w:left w:val="single" w:color="1A2A4A" w:sz="8"/>
              <w:bottom w:val="single" w:color="1A2A4A" w:sz="8"/>
              <w:right w:val="single" w:color="1A2A4A" w:sz="8"/>
            </w:tcBorders>
            <w:shd w:fill="2E75B6" w:val="clear"/>
            <w:tcMar>
              <w:top w:type="dxa" w:w="120"/>
              <w:left w:type="dxa" w:w="200"/>
              <w:bottom w:type="dxa" w:w="120"/>
              <w:right w:type="dxa" w:w="160"/>
            </w:tcMar>
          </w:tcPr>
          <w:p>
            <w:pPr>
              <w:spacing w:before="0" w:after="40"/>
            </w:pPr>
            <w:r>
              <w:rPr>
                <w:rFonts w:ascii="Arial" w:cs="Arial" w:eastAsia="Arial" w:hAnsi="Arial"/>
                <w:b/>
                <w:bCs/>
                <w:color w:val="FFFFFF"/>
                <w:sz w:val="32"/>
                <w:szCs w:val="32"/>
              </w:rPr>
              <w:t xml:space="preserve">Collection — Cloud Artefacts</w:t>
            </w:r>
          </w:p>
          <w:p>
            <w:pPr>
              <w:spacing w:before="0" w:after="0"/>
            </w:pPr>
            <w:r>
              <w:rPr>
                <w:rFonts w:ascii="Arial" w:cs="Arial" w:eastAsia="Arial" w:hAnsi="Arial"/>
                <w:i/>
                <w:iCs/>
                <w:color w:val="BDD7EE"/>
                <w:sz w:val="20"/>
                <w:szCs w:val="20"/>
              </w:rPr>
              <w:t xml:space="preserve">AWS, Microsoft Azure, and Google Cloud Platform log sources and acquisition approach</w:t>
            </w:r>
          </w:p>
        </w:tc>
      </w:tr>
    </w:tbl>
    <w:p>
      <w:pPr>
        <w:pStyle w:val="Heading2"/>
        <w:spacing w:before="280" w:after="100"/>
      </w:pPr>
      <w:r>
        <w:rPr>
          <w:rFonts w:ascii="Arial" w:cs="Arial" w:eastAsia="Arial" w:hAnsi="Arial"/>
          <w:b/>
          <w:bCs/>
          <w:color w:val="1565C0"/>
          <w:sz w:val="28"/>
          <w:szCs w:val="28"/>
        </w:rPr>
        <w:t xml:space="preserve">5.1 Cloud Evidence Considerations</w:t>
      </w:r>
    </w:p>
    <w:p>
      <w:pPr>
        <w:spacing w:before="60" w:after="60"/>
      </w:pPr>
      <w:r>
        <w:rPr>
          <w:rFonts w:ascii="Arial" w:cs="Arial" w:eastAsia="Arial" w:hAnsi="Arial"/>
          <w:sz w:val="22"/>
          <w:szCs w:val="22"/>
        </w:rPr>
        <w:t xml:space="preserve">Cloud environments present unique evidence challenges: logs may not be enabled by default, retention periods vary, evidence may reside across multiple regions and accounts, and the hypervisor layer is not accessible. Collection must occur via APIs and console access — physical acquisition is not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2E75B6" w:val="clear"/>
            <w:tcMar>
              <w:top w:type="dxa" w:w="80"/>
              <w:left w:type="dxa" w:w="140"/>
              <w:bottom w:type="dxa" w:w="60"/>
              <w:right w:type="dxa" w:w="140"/>
            </w:tcMar>
          </w:tcPr>
          <w:p>
            <w:pPr>
              <w:spacing w:before="0" w:after="0"/>
            </w:pPr>
            <w:r>
              <w:rPr>
                <w:rFonts w:ascii="Arial" w:cs="Arial" w:eastAsia="Arial" w:hAnsi="Arial"/>
                <w:b/>
                <w:bCs/>
                <w:color w:val="1A2A4A"/>
                <w:sz w:val="20"/>
                <w:szCs w:val="20"/>
              </w:rPr>
              <w:t xml:space="preserve">CLOUD EVIDENCE — KEY PRINCIPLES</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Enable all relevant logging before investigating if not already active — but note this creates new log entries.</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Cloud logs are often stored in object storage (S3, Azure Blob, GCS) — request immutability/object lock immediately.</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APIs and console actions leave their own audit trails — every investigative action is itself logged.</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Cross-region incidents require collection from every region where affected resources exist.</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Shared responsibility model: the cloud provider owns the hypervisor; you own everything above it.</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Engage cloud provider security teams (AWS Security, Microsoft DART, Google CIRT) for major incidents.</w:t>
            </w:r>
          </w:p>
        </w:tc>
      </w:tr>
    </w:tbl>
    <w:p>
      <w:pPr>
        <w:pStyle w:val="Heading2"/>
        <w:spacing w:before="280" w:after="100"/>
      </w:pPr>
      <w:r>
        <w:rPr>
          <w:rFonts w:ascii="Arial" w:cs="Arial" w:eastAsia="Arial" w:hAnsi="Arial"/>
          <w:b/>
          <w:bCs/>
          <w:color w:val="1565C0"/>
          <w:sz w:val="28"/>
          <w:szCs w:val="28"/>
        </w:rPr>
        <w:t xml:space="preserve">5.2 Amazon Web Services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Log Source</w:t>
            </w:r>
          </w:p>
        </w:tc>
        <w:tc>
          <w:tcPr>
            <w:tcW w:type="dxa" w:w="35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Location / Service</w:t>
            </w:r>
          </w:p>
        </w:tc>
        <w:tc>
          <w:tcPr>
            <w:tcW w:type="dxa" w:w="386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Investigation Value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CloudTrail</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AWS CloudTrail — management event logs across all regions</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All API calls: who, what, when, from where. Covers console access, CLI, SDK calls. Critical for all AWS investigations.</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CloudTrail Data Events</w:t>
            </w:r>
          </w:p>
        </w:tc>
        <w:tc>
          <w:tcPr>
            <w:tcW w:type="dxa" w:w="3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S3 object-level logging, Lambda invocations (opt-in)</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File-level access to S3 buckets — who accessed/downloaded/deleted objects. Must be enabled explicitly.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VPC Flow Logs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Per-VPC or per-ENI flow logs to CloudWatch or S3</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Network traffic metadata: source/dest IP, port, protocol, bytes, accept/reject. Does not capture payload.</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CloudWatch Logs</w:t>
            </w:r>
          </w:p>
        </w:tc>
        <w:tc>
          <w:tcPr>
            <w:tcW w:type="dxa" w:w="3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Per-service log groups — EC2 (via agent), Lambda, ECS, RDS</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Application and OS-level logs from workloads. Retention policies vary — check before relying on availability.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AWS Config</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AWS Config — resource configuration history and compliance</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Historical resource configuration snapshots — what did a security group look like before it was modified?</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S3 Server Access Logs</w:t>
            </w:r>
          </w:p>
        </w:tc>
        <w:tc>
          <w:tcPr>
            <w:tcW w:type="dxa" w:w="3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Per-bucket server access logging (opt-in)</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HTTP-level access: requester, IP, object, operation, response code — more granular than CloudTrail for S3</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IAM / Credential Reports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IAM Access Analyser, credential report, last-used data</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All IAM users, roles, and keys: creation dates, last use, permissions — identify rogue accounts and unused credentials</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GuardDuty Findings</w:t>
            </w:r>
          </w:p>
        </w:tc>
        <w:tc>
          <w:tcPr>
            <w:tcW w:type="dxa" w:w="3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AWS GuardDuty — threat detection service</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Pre-processed alerts: unusual API calls, tor exit node usage, crypto mining, reconnaissance — correlate with raw logs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AWS Security Hub</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Aggregated findings from GuardDuty, Inspector, Macie</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Consolidated view of security findings — useful for scoping but not a substitute for raw log investigation</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EC2 Serial Console</w:t>
            </w:r>
          </w:p>
        </w:tc>
        <w:tc>
          <w:tcPr>
            <w:tcW w:type="dxa" w:w="3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Instance serial console output (opt-in)</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Boot logs and OS messages — useful for compromised instances that are unresponsive via SSH/RDP</w:t>
            </w:r>
          </w:p>
        </w:tc>
      </w:tr>
    </w:tbl>
    <w:p>
      <w:pPr>
        <w:pStyle w:val="Heading2"/>
        <w:spacing w:before="280" w:after="100"/>
      </w:pPr>
      <w:r>
        <w:rPr>
          <w:rFonts w:ascii="Arial" w:cs="Arial" w:eastAsia="Arial" w:hAnsi="Arial"/>
          <w:b/>
          <w:bCs/>
          <w:color w:val="1565C0"/>
          <w:sz w:val="28"/>
          <w:szCs w:val="28"/>
        </w:rPr>
        <w:t xml:space="preserve">5.3 Microsoft Azure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Log Source</w:t>
            </w:r>
          </w:p>
        </w:tc>
        <w:tc>
          <w:tcPr>
            <w:tcW w:type="dxa" w:w="35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Location / Service</w:t>
            </w:r>
          </w:p>
        </w:tc>
        <w:tc>
          <w:tcPr>
            <w:tcW w:type="dxa" w:w="386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Investigation Value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Azure Activity Log</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Azure Monitor — subscription-level control plane log</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All ARM operations: resource creation/deletion, role assignments, policy changes. Retained 90 days by default.</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Azure AD Sign-In Logs</w:t>
            </w:r>
          </w:p>
        </w:tc>
        <w:tc>
          <w:tcPr>
            <w:tcW w:type="dxa" w:w="3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Entra ID — interactive, non-interactive, service principal</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All authentication events: user, app, IP, MFA result, conditional access outcome, risk score. 30-day default retention.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Azure AD Audit Logs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Entra ID — directory change events</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Account creation/deletion, group membership, role assignments, app registrations, password resets.</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Microsoft Defender XDR</w:t>
            </w:r>
          </w:p>
        </w:tc>
        <w:tc>
          <w:tcPr>
            <w:tcW w:type="dxa" w:w="3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Microsoft 365 Defender — unified incident and alert view</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Cross-product detections spanning endpoint (MDE), identity (MDI), cloud apps (MDCA), email (MDO).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Defender for Endpoint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MDE — advanced hunting, device timeline</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Process creation, network events, file operations, registry changes per device — 30-day rolling retention.</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Unified Audit Log</w:t>
            </w:r>
          </w:p>
        </w:tc>
        <w:tc>
          <w:tcPr>
            <w:tcW w:type="dxa" w:w="3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Microsoft Purview / Compliance portal — M365 audit</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All M365 user and admin activity: Exchange, SharePoint, Teams, OneDrive, Azure AD — critical for cloud email/data investigations.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NSG Flow Logs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Azure Network Watcher — per-NSG flow logs to Storage</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Network traffic metadata through NSGs — equivalent to VPC Flow Logs in AWS.</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Azure Firewall Logs</w:t>
            </w:r>
          </w:p>
        </w:tc>
        <w:tc>
          <w:tcPr>
            <w:tcW w:type="dxa" w:w="3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Azure Monitor / Log Analytics — Azure Firewall diagnostics</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Allow/deny decisions, FQDN filtering, IDPS alerts.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Storage Analytics Logs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Azure Blob / Queue / Table storage logging</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Object-level storage access — who accessed/downloaded data from storage accounts.</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Key Vault Audit Logs</w:t>
            </w:r>
          </w:p>
        </w:tc>
        <w:tc>
          <w:tcPr>
            <w:tcW w:type="dxa" w:w="3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Azure Monitor — Key Vault diagnostic logs</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All key vault operations: secret access, certificate operations — critical for credential theft investigation.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Log Analytics Workspace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Central SIEM sink — all diagnostic logs forwarded here</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Queryable repository of all forwarded logs — KQL queries for investigation. Check retention and data connector coverage.</w:t>
            </w:r>
          </w:p>
        </w:tc>
      </w:tr>
    </w:tbl>
    <w:p>
      <w:pPr>
        <w:pStyle w:val="Heading2"/>
        <w:spacing w:before="280" w:after="100"/>
      </w:pPr>
      <w:r>
        <w:rPr>
          <w:rFonts w:ascii="Arial" w:cs="Arial" w:eastAsia="Arial" w:hAnsi="Arial"/>
          <w:b/>
          <w:bCs/>
          <w:color w:val="1565C0"/>
          <w:sz w:val="28"/>
          <w:szCs w:val="28"/>
        </w:rPr>
        <w:t xml:space="preserve">5.4 Google Cloud Platform (GCP)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Log Source</w:t>
            </w:r>
          </w:p>
        </w:tc>
        <w:tc>
          <w:tcPr>
            <w:tcW w:type="dxa" w:w="35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Location / Service</w:t>
            </w:r>
          </w:p>
        </w:tc>
        <w:tc>
          <w:tcPr>
            <w:tcW w:type="dxa" w:w="386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Investigation Value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Cloud Audit Logs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Admin Activity, Data Access, System Event, Policy Denied</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Admin Activity: always on; Data Access: opt-in but critical for data exfiltration investigation. Covers all GCP API calls.</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VPC Flow Logs</w:t>
            </w:r>
          </w:p>
        </w:tc>
        <w:tc>
          <w:tcPr>
            <w:tcW w:type="dxa" w:w="3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Per-subnet VPC flow logs to Cloud Logging</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Network traffic metadata: source/dest, protocol, bytes. Subnet-level granularity.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Cloud Logging</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Google Cloud Logging — centralised log sink</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Aggregated logs from GCE, GKE, Cloud Functions, App Engine. Configure sinks to Cloud Storage for long-term retention.</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Google Workspace Audit</w:t>
            </w:r>
          </w:p>
        </w:tc>
        <w:tc>
          <w:tcPr>
            <w:tcW w:type="dxa" w:w="3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Admin SDK Reports API — login, admin, drive, meet</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User login events, file access/share/download, admin changes, Meet recordings. Critical for G Suite data investigations.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Access Transparency</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Google Access Transparency logs</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Google staff access to customer data — relevant for supply chain or insider investigations involving Google.</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Cloud IDS</w:t>
            </w:r>
          </w:p>
        </w:tc>
        <w:tc>
          <w:tcPr>
            <w:tcW w:type="dxa" w:w="3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Cloud Intrusion Detection System</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Network threat detection for GCP workloads — signature-based and anomaly detection.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Security Command Centre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GCP SCC — findings from built-in and partner security tools</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Aggregated security findings: misconfigured resources, vulnerability detections, threat findings.</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IAM Recommender Logs</w:t>
            </w:r>
          </w:p>
        </w:tc>
        <w:tc>
          <w:tcPr>
            <w:tcW w:type="dxa" w:w="3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IAM audit and recommender data</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Overly permissive IAM roles, unused permissions — useful for understanding blast radius of compromised identity.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Chronicle SIEM</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Google Chronicle — if deployed</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Security telemetry aggregation and YARA-L rule-based detection. Sub-second search across petabytes of log data.</w:t>
            </w:r>
          </w:p>
        </w:tc>
      </w:tr>
    </w:tbl>
    <w:p>
      <w:pPr>
        <w:pStyle w:val="Heading2"/>
        <w:spacing w:before="280" w:after="100"/>
      </w:pPr>
      <w:r>
        <w:rPr>
          <w:rFonts w:ascii="Arial" w:cs="Arial" w:eastAsia="Arial" w:hAnsi="Arial"/>
          <w:b/>
          <w:bCs/>
          <w:color w:val="1565C0"/>
          <w:sz w:val="28"/>
          <w:szCs w:val="28"/>
        </w:rPr>
        <w:t xml:space="preserve">5.5 Cloud Collection Checklist</w:t>
      </w:r>
    </w:p>
    <w:p>
      <w:pPr>
        <w:pStyle w:val="ListParagraph"/>
        <w:numPr>
          <w:ilvl w:val="0"/>
          <w:numId w:val="2"/>
        </w:numPr>
        <w:spacing w:before="40" w:after="40"/>
      </w:pPr>
      <w:r>
        <w:rPr>
          <w:rFonts w:ascii="Arial" w:cs="Arial" w:eastAsia="Arial" w:hAnsi="Arial"/>
          <w:b/>
          <w:bCs/>
          <w:sz w:val="22"/>
          <w:szCs w:val="22"/>
        </w:rPr>
        <w:t xml:space="preserve">Immediately request immutability / object lock on all log storage buckets (S3, Azure Blob, GCS) to prevent deletion or overwrite</w:t>
      </w:r>
    </w:p>
    <w:p>
      <w:pPr>
        <w:pStyle w:val="ListParagraph"/>
        <w:numPr>
          <w:ilvl w:val="0"/>
          <w:numId w:val="2"/>
        </w:numPr>
        <w:spacing w:before="40" w:after="40"/>
      </w:pPr>
      <w:r>
        <w:rPr>
          <w:rFonts w:ascii="Arial" w:cs="Arial" w:eastAsia="Arial" w:hAnsi="Arial"/>
          <w:b w:val="false"/>
          <w:bCs w:val="false"/>
          <w:sz w:val="22"/>
          <w:szCs w:val="22"/>
        </w:rPr>
        <w:t xml:space="preserve">Export logs to an investigation-controlled storage location — do not rely solely on source system access</w:t>
      </w:r>
    </w:p>
    <w:p>
      <w:pPr>
        <w:pStyle w:val="ListParagraph"/>
        <w:numPr>
          <w:ilvl w:val="0"/>
          <w:numId w:val="2"/>
        </w:numPr>
        <w:spacing w:before="40" w:after="40"/>
      </w:pPr>
      <w:r>
        <w:rPr>
          <w:rFonts w:ascii="Arial" w:cs="Arial" w:eastAsia="Arial" w:hAnsi="Arial"/>
          <w:b w:val="false"/>
          <w:bCs w:val="false"/>
          <w:sz w:val="22"/>
          <w:szCs w:val="22"/>
        </w:rPr>
        <w:t xml:space="preserve">Document the exact API calls and console actions used to collect evidence — these are themselves logged</w:t>
      </w:r>
    </w:p>
    <w:p>
      <w:pPr>
        <w:pStyle w:val="ListParagraph"/>
        <w:numPr>
          <w:ilvl w:val="0"/>
          <w:numId w:val="2"/>
        </w:numPr>
        <w:spacing w:before="40" w:after="40"/>
      </w:pPr>
      <w:r>
        <w:rPr>
          <w:rFonts w:ascii="Arial" w:cs="Arial" w:eastAsia="Arial" w:hAnsi="Arial"/>
          <w:b w:val="false"/>
          <w:bCs w:val="false"/>
          <w:sz w:val="22"/>
          <w:szCs w:val="22"/>
        </w:rPr>
        <w:t xml:space="preserve">Check and document retention period for each log source — many default to 30–90 days and may already be truncated</w:t>
      </w:r>
    </w:p>
    <w:p>
      <w:pPr>
        <w:pStyle w:val="ListParagraph"/>
        <w:numPr>
          <w:ilvl w:val="0"/>
          <w:numId w:val="2"/>
        </w:numPr>
        <w:spacing w:before="40" w:after="40"/>
      </w:pPr>
      <w:r>
        <w:rPr>
          <w:rFonts w:ascii="Arial" w:cs="Arial" w:eastAsia="Arial" w:hAnsi="Arial"/>
          <w:b w:val="false"/>
          <w:bCs w:val="false"/>
          <w:sz w:val="22"/>
          <w:szCs w:val="22"/>
        </w:rPr>
        <w:t xml:space="preserve">Enumerate all accounts, regions, subscriptions, and projects in scope — cloud sprawl means evidence may be in unexpected places</w:t>
      </w:r>
    </w:p>
    <w:p>
      <w:pPr>
        <w:pStyle w:val="ListParagraph"/>
        <w:numPr>
          <w:ilvl w:val="0"/>
          <w:numId w:val="2"/>
        </w:numPr>
        <w:spacing w:before="40" w:after="40"/>
      </w:pPr>
      <w:r>
        <w:rPr>
          <w:rFonts w:ascii="Arial" w:cs="Arial" w:eastAsia="Arial" w:hAnsi="Arial"/>
          <w:b w:val="false"/>
          <w:bCs w:val="false"/>
          <w:sz w:val="22"/>
          <w:szCs w:val="22"/>
        </w:rPr>
        <w:t xml:space="preserve">Request cloud provider threat intelligence for the incident if significant (AWS Security, Microsoft DART, Google CIRT)</w:t>
      </w:r>
    </w:p>
    <w:p>
      <w:pPr>
        <w:pStyle w:val="ListParagraph"/>
        <w:numPr>
          <w:ilvl w:val="0"/>
          <w:numId w:val="2"/>
        </w:numPr>
        <w:spacing w:before="40" w:after="40"/>
      </w:pPr>
      <w:r>
        <w:rPr>
          <w:rFonts w:ascii="Arial" w:cs="Arial" w:eastAsia="Arial" w:hAnsi="Arial"/>
          <w:b w:val="false"/>
          <w:bCs w:val="false"/>
          <w:sz w:val="22"/>
          <w:szCs w:val="22"/>
        </w:rPr>
        <w:t xml:space="preserve">Capture IAM/identity state: all users, roles, service accounts, access keys, and their last-used timestamps</w:t>
      </w:r>
    </w:p>
    <w:p>
      <w:pPr>
        <w:pStyle w:val="ListParagraph"/>
        <w:numPr>
          <w:ilvl w:val="0"/>
          <w:numId w:val="2"/>
        </w:numPr>
        <w:spacing w:before="40" w:after="40"/>
      </w:pPr>
      <w:r>
        <w:rPr>
          <w:rFonts w:ascii="Arial" w:cs="Arial" w:eastAsia="Arial" w:hAnsi="Arial"/>
          <w:b w:val="false"/>
          <w:bCs w:val="false"/>
          <w:sz w:val="22"/>
          <w:szCs w:val="22"/>
        </w:rPr>
        <w:t xml:space="preserve">Check for evidence of log tampering: CloudTrail deletion, diagnostic setting removal, audit log suppression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6"/>
              <w:left w:val="single" w:color="1E6B3C" w:sz="6"/>
              <w:bottom w:val="single" w:color="1E6B3C" w:sz="6"/>
              <w:right w:val="single" w:color="1E6B3C" w:sz="6"/>
            </w:tcBorders>
            <w:shd w:fill="1E6B3C" w:val="clear"/>
            <w:tcMar>
              <w:top w:type="dxa" w:w="80"/>
              <w:left w:type="dxa" w:w="140"/>
              <w:bottom w:type="dxa" w:w="60"/>
              <w:right w:type="dxa" w:w="140"/>
            </w:tcMar>
          </w:tcPr>
          <w:p>
            <w:pPr>
              <w:spacing w:before="0" w:after="0"/>
            </w:pPr>
            <w:r>
              <w:rPr>
                <w:rFonts w:ascii="Arial" w:cs="Arial" w:eastAsia="Arial" w:hAnsi="Arial"/>
                <w:b/>
                <w:bCs/>
                <w:color w:val="FFFFFF"/>
                <w:sz w:val="20"/>
                <w:szCs w:val="20"/>
              </w:rPr>
              <w:t xml:space="preserve">AUDIT TRAIL — LOG THE FOLLOWING</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Record: All API calls and console actions taken during collection — these appear in the cloud provider's own audit log.</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Record: Retention period confirmed for each log source and whether any relevant period falls outside retention window.</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Record: Log storage immutability status — confirmed enabled, date/time enabled, expiry policy.</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Record: Any log sources that were disabled, not configured, or had gaps — absence of logging is a finding in itself.</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Record: Cloud provider case/ticket number if provider security team was engaged.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2A4A" w:sz="8"/>
              <w:left w:val="single" w:color="1A2A4A" w:sz="8"/>
              <w:bottom w:val="single" w:color="1A2A4A" w:sz="8"/>
              <w:right w:val="single" w:color="1A2A4A" w:sz="8"/>
            </w:tcBorders>
            <w:shd w:fill="1A2A4A"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48"/>
                <w:szCs w:val="48"/>
              </w:rPr>
              <w:t xml:space="preserve">06</w:t>
            </w:r>
          </w:p>
        </w:tc>
        <w:tc>
          <w:tcPr>
            <w:tcW w:type="dxa" w:w="8160"/>
            <w:tcBorders>
              <w:top w:val="single" w:color="1A2A4A" w:sz="8"/>
              <w:left w:val="single" w:color="1A2A4A" w:sz="8"/>
              <w:bottom w:val="single" w:color="1A2A4A" w:sz="8"/>
              <w:right w:val="single" w:color="1A2A4A" w:sz="8"/>
            </w:tcBorders>
            <w:shd w:fill="2E75B6" w:val="clear"/>
            <w:tcMar>
              <w:top w:type="dxa" w:w="120"/>
              <w:left w:type="dxa" w:w="200"/>
              <w:bottom w:type="dxa" w:w="120"/>
              <w:right w:type="dxa" w:w="160"/>
            </w:tcMar>
          </w:tcPr>
          <w:p>
            <w:pPr>
              <w:spacing w:before="0" w:after="40"/>
            </w:pPr>
            <w:r>
              <w:rPr>
                <w:rFonts w:ascii="Arial" w:cs="Arial" w:eastAsia="Arial" w:hAnsi="Arial"/>
                <w:b/>
                <w:bCs/>
                <w:color w:val="FFFFFF"/>
                <w:sz w:val="32"/>
                <w:szCs w:val="32"/>
              </w:rPr>
              <w:t xml:space="preserve">Investigation Objectives</w:t>
            </w:r>
          </w:p>
          <w:p>
            <w:pPr>
              <w:spacing w:before="0" w:after="0"/>
            </w:pPr>
            <w:r>
              <w:rPr>
                <w:rFonts w:ascii="Arial" w:cs="Arial" w:eastAsia="Arial" w:hAnsi="Arial"/>
                <w:i/>
                <w:iCs/>
                <w:color w:val="BDD7EE"/>
                <w:sz w:val="20"/>
                <w:szCs w:val="20"/>
              </w:rPr>
              <w:t xml:space="preserve">What we are trying to establish — root cause, timeline, exfiltration, IOCs, accounts, persistence</w:t>
            </w:r>
          </w:p>
        </w:tc>
      </w:tr>
    </w:tbl>
    <w:p>
      <w:pPr>
        <w:pStyle w:val="Heading2"/>
        <w:spacing w:before="280" w:after="100"/>
      </w:pPr>
      <w:r>
        <w:rPr>
          <w:rFonts w:ascii="Arial" w:cs="Arial" w:eastAsia="Arial" w:hAnsi="Arial"/>
          <w:b/>
          <w:bCs/>
          <w:color w:val="1565C0"/>
          <w:sz w:val="28"/>
          <w:szCs w:val="28"/>
        </w:rPr>
        <w:t xml:space="preserve">6.1 Overview</w:t>
      </w:r>
    </w:p>
    <w:p>
      <w:pPr>
        <w:spacing w:before="60" w:after="60"/>
      </w:pPr>
      <w:r>
        <w:rPr>
          <w:rFonts w:ascii="Arial" w:cs="Arial" w:eastAsia="Arial" w:hAnsi="Arial"/>
          <w:sz w:val="22"/>
          <w:szCs w:val="22"/>
        </w:rPr>
        <w:t xml:space="preserve">Every DFIR investigation should be driven by clearly defined objectives. These objectives shape what evidence is collected, what is prioritised for analysis, and what questions the final report must answer. The six core objectives below apply to the majority of enterprise incidents; additional objectives may be added for specific scenarios.</w:t>
      </w:r>
    </w:p>
    <w:p>
      <w:pPr>
        <w:pStyle w:val="Heading2"/>
        <w:spacing w:before="280" w:after="100"/>
      </w:pPr>
      <w:r>
        <w:rPr>
          <w:rFonts w:ascii="Arial" w:cs="Arial" w:eastAsia="Arial" w:hAnsi="Arial"/>
          <w:b/>
          <w:bCs/>
          <w:color w:val="1565C0"/>
          <w:sz w:val="28"/>
          <w:szCs w:val="28"/>
        </w:rPr>
        <w:t xml:space="preserve">6.2 Root Cause &amp; Initial Access</w:t>
      </w:r>
    </w:p>
    <w:p>
      <w:pPr>
        <w:spacing w:before="60" w:after="60"/>
      </w:pPr>
      <w:r>
        <w:rPr>
          <w:rFonts w:ascii="Arial" w:cs="Arial" w:eastAsia="Arial" w:hAnsi="Arial"/>
          <w:sz w:val="22"/>
          <w:szCs w:val="22"/>
        </w:rPr>
        <w:t xml:space="preserve">The fundamental question: how did the attacker get in? Without answering this, eradication is incomplete and recurrence is likely.</w:t>
      </w:r>
    </w:p>
    <w:p>
      <w:pPr>
        <w:pStyle w:val="ListParagraph"/>
        <w:numPr>
          <w:ilvl w:val="0"/>
          <w:numId w:val="2"/>
        </w:numPr>
        <w:spacing w:before="40" w:after="40"/>
      </w:pPr>
      <w:r>
        <w:rPr>
          <w:rFonts w:ascii="Arial" w:cs="Arial" w:eastAsia="Arial" w:hAnsi="Arial"/>
          <w:b w:val="false"/>
          <w:bCs w:val="false"/>
          <w:sz w:val="22"/>
          <w:szCs w:val="22"/>
        </w:rPr>
        <w:t xml:space="preserve">Identify the initial access vector: phishing, credential stuffing, exploited vulnerability, supply chain, physical access, insider</w:t>
      </w:r>
    </w:p>
    <w:p>
      <w:pPr>
        <w:pStyle w:val="ListParagraph"/>
        <w:numPr>
          <w:ilvl w:val="0"/>
          <w:numId w:val="2"/>
        </w:numPr>
        <w:spacing w:before="40" w:after="40"/>
      </w:pPr>
      <w:r>
        <w:rPr>
          <w:rFonts w:ascii="Arial" w:cs="Arial" w:eastAsia="Arial" w:hAnsi="Arial"/>
          <w:b w:val="false"/>
          <w:bCs w:val="false"/>
          <w:sz w:val="22"/>
          <w:szCs w:val="22"/>
        </w:rPr>
        <w:t xml:space="preserve">Identify the specific vulnerability, credential, or user involved at the point of initial access</w:t>
      </w:r>
    </w:p>
    <w:p>
      <w:pPr>
        <w:pStyle w:val="ListParagraph"/>
        <w:numPr>
          <w:ilvl w:val="0"/>
          <w:numId w:val="2"/>
        </w:numPr>
        <w:spacing w:before="40" w:after="40"/>
      </w:pPr>
      <w:r>
        <w:rPr>
          <w:rFonts w:ascii="Arial" w:cs="Arial" w:eastAsia="Arial" w:hAnsi="Arial"/>
          <w:b w:val="false"/>
          <w:bCs w:val="false"/>
          <w:sz w:val="22"/>
          <w:szCs w:val="22"/>
        </w:rPr>
        <w:t xml:space="preserve">Establish the exact date and time of first confirmed attacker activity — the true start of the incident timeline</w:t>
      </w:r>
    </w:p>
    <w:p>
      <w:pPr>
        <w:pStyle w:val="ListParagraph"/>
        <w:numPr>
          <w:ilvl w:val="0"/>
          <w:numId w:val="2"/>
        </w:numPr>
        <w:spacing w:before="40" w:after="40"/>
      </w:pPr>
      <w:r>
        <w:rPr>
          <w:rFonts w:ascii="Arial" w:cs="Arial" w:eastAsia="Arial" w:hAnsi="Arial"/>
          <w:b w:val="false"/>
          <w:bCs w:val="false"/>
          <w:sz w:val="22"/>
          <w:szCs w:val="22"/>
        </w:rPr>
        <w:t xml:space="preserve">Identify any reconnaissance activity that preceded the intrusion (scanning, credential harvesting, social engineering)</w:t>
      </w:r>
    </w:p>
    <w:p>
      <w:pPr>
        <w:pStyle w:val="ListParagraph"/>
        <w:numPr>
          <w:ilvl w:val="0"/>
          <w:numId w:val="2"/>
        </w:numPr>
        <w:spacing w:before="40" w:after="40"/>
      </w:pPr>
      <w:r>
        <w:rPr>
          <w:rFonts w:ascii="Arial" w:cs="Arial" w:eastAsia="Arial" w:hAnsi="Arial"/>
          <w:b w:val="false"/>
          <w:bCs w:val="false"/>
          <w:sz w:val="22"/>
          <w:szCs w:val="22"/>
        </w:rPr>
        <w:t xml:space="preserve">Determine whether the initial access was opportunistic or targeted</w:t>
      </w:r>
    </w:p>
    <w:p>
      <w:pPr>
        <w:pStyle w:val="Heading2"/>
        <w:spacing w:before="280" w:after="100"/>
      </w:pPr>
      <w:r>
        <w:rPr>
          <w:rFonts w:ascii="Arial" w:cs="Arial" w:eastAsia="Arial" w:hAnsi="Arial"/>
          <w:b/>
          <w:bCs/>
          <w:color w:val="1565C0"/>
          <w:sz w:val="28"/>
          <w:szCs w:val="28"/>
        </w:rPr>
        <w:t xml:space="preserve">6.3 Incident Timeline</w:t>
      </w:r>
    </w:p>
    <w:p>
      <w:pPr>
        <w:spacing w:before="60" w:after="60"/>
      </w:pPr>
      <w:r>
        <w:rPr>
          <w:rFonts w:ascii="Arial" w:cs="Arial" w:eastAsia="Arial" w:hAnsi="Arial"/>
          <w:sz w:val="22"/>
          <w:szCs w:val="22"/>
        </w:rPr>
        <w:t xml:space="preserve">A chronological reconstruction of attacker activity from initial access to detection. The timeline is the spine of the investigation — every other objective is anchored to it.</w:t>
      </w:r>
    </w:p>
    <w:p>
      <w:pPr>
        <w:pStyle w:val="ListParagraph"/>
        <w:numPr>
          <w:ilvl w:val="0"/>
          <w:numId w:val="2"/>
        </w:numPr>
        <w:spacing w:before="40" w:after="40"/>
      </w:pPr>
      <w:r>
        <w:rPr>
          <w:rFonts w:ascii="Arial" w:cs="Arial" w:eastAsia="Arial" w:hAnsi="Arial"/>
          <w:b w:val="false"/>
          <w:bCs w:val="false"/>
          <w:sz w:val="22"/>
          <w:szCs w:val="22"/>
        </w:rPr>
        <w:t xml:space="preserve">Establish T0: confirmed first attacker activity (not first detection)</w:t>
      </w:r>
    </w:p>
    <w:p>
      <w:pPr>
        <w:pStyle w:val="ListParagraph"/>
        <w:numPr>
          <w:ilvl w:val="0"/>
          <w:numId w:val="2"/>
        </w:numPr>
        <w:spacing w:before="40" w:after="40"/>
      </w:pPr>
      <w:r>
        <w:rPr>
          <w:rFonts w:ascii="Arial" w:cs="Arial" w:eastAsia="Arial" w:hAnsi="Arial"/>
          <w:b w:val="false"/>
          <w:bCs w:val="false"/>
          <w:sz w:val="22"/>
          <w:szCs w:val="22"/>
        </w:rPr>
        <w:t xml:space="preserve">Map all attacker actions in sequence: initial access → execution → persistence → privilege escalation → lateral movement → collection → exfiltration → impact</w:t>
      </w:r>
    </w:p>
    <w:p>
      <w:pPr>
        <w:pStyle w:val="ListParagraph"/>
        <w:numPr>
          <w:ilvl w:val="0"/>
          <w:numId w:val="2"/>
        </w:numPr>
        <w:spacing w:before="40" w:after="40"/>
      </w:pPr>
      <w:r>
        <w:rPr>
          <w:rFonts w:ascii="Arial" w:cs="Arial" w:eastAsia="Arial" w:hAnsi="Arial"/>
          <w:b w:val="false"/>
          <w:bCs w:val="false"/>
          <w:sz w:val="22"/>
          <w:szCs w:val="22"/>
        </w:rPr>
        <w:t xml:space="preserve">Identify dwell time: period between T0 and detection — critical for assessing data at risk</w:t>
      </w:r>
    </w:p>
    <w:p>
      <w:pPr>
        <w:pStyle w:val="ListParagraph"/>
        <w:numPr>
          <w:ilvl w:val="0"/>
          <w:numId w:val="2"/>
        </w:numPr>
        <w:spacing w:before="40" w:after="40"/>
      </w:pPr>
      <w:r>
        <w:rPr>
          <w:rFonts w:ascii="Arial" w:cs="Arial" w:eastAsia="Arial" w:hAnsi="Arial"/>
          <w:b w:val="false"/>
          <w:bCs w:val="false"/>
          <w:sz w:val="22"/>
          <w:szCs w:val="22"/>
        </w:rPr>
        <w:t xml:space="preserve">Correlate timestamps across multiple sources — note any time skew between systems and normalise to UTC</w:t>
      </w:r>
    </w:p>
    <w:p>
      <w:pPr>
        <w:pStyle w:val="ListParagraph"/>
        <w:numPr>
          <w:ilvl w:val="0"/>
          <w:numId w:val="2"/>
        </w:numPr>
        <w:spacing w:before="40" w:after="40"/>
      </w:pPr>
      <w:r>
        <w:rPr>
          <w:rFonts w:ascii="Arial" w:cs="Arial" w:eastAsia="Arial" w:hAnsi="Arial"/>
          <w:b w:val="false"/>
          <w:bCs w:val="false"/>
          <w:sz w:val="22"/>
          <w:szCs w:val="22"/>
        </w:rPr>
        <w:t xml:space="preserve">Identify detection point: what triggered awareness and why earlier indicators were missed</w:t>
      </w:r>
    </w:p>
    <w:p>
      <w:pPr>
        <w:pStyle w:val="ListParagraph"/>
        <w:numPr>
          <w:ilvl w:val="0"/>
          <w:numId w:val="2"/>
        </w:numPr>
        <w:spacing w:before="40" w:after="40"/>
      </w:pPr>
      <w:r>
        <w:rPr>
          <w:rFonts w:ascii="Arial" w:cs="Arial" w:eastAsia="Arial" w:hAnsi="Arial"/>
          <w:b w:val="false"/>
          <w:bCs w:val="false"/>
          <w:sz w:val="22"/>
          <w:szCs w:val="22"/>
        </w:rPr>
        <w:t xml:space="preserve">Document gaps in the timeline where log coverage is insufficient — these are themselves findings</w:t>
      </w:r>
    </w:p>
    <w:p>
      <w:pPr>
        <w:pStyle w:val="Heading2"/>
        <w:spacing w:before="280" w:after="100"/>
      </w:pPr>
      <w:r>
        <w:rPr>
          <w:rFonts w:ascii="Arial" w:cs="Arial" w:eastAsia="Arial" w:hAnsi="Arial"/>
          <w:b/>
          <w:bCs/>
          <w:color w:val="1565C0"/>
          <w:sz w:val="28"/>
          <w:szCs w:val="28"/>
        </w:rPr>
        <w:t xml:space="preserve">6.4 Data Exfiltration</w:t>
      </w:r>
    </w:p>
    <w:p>
      <w:pPr>
        <w:spacing w:before="60" w:after="60"/>
      </w:pPr>
      <w:r>
        <w:rPr>
          <w:rFonts w:ascii="Arial" w:cs="Arial" w:eastAsia="Arial" w:hAnsi="Arial"/>
          <w:sz w:val="22"/>
          <w:szCs w:val="22"/>
        </w:rPr>
        <w:t xml:space="preserve">Determine whether data left the organisation, what data, how much, by what method, and to where. This drives regulatory notification obligations and business impact assessment.</w:t>
      </w:r>
    </w:p>
    <w:p>
      <w:pPr>
        <w:pStyle w:val="ListParagraph"/>
        <w:numPr>
          <w:ilvl w:val="0"/>
          <w:numId w:val="2"/>
        </w:numPr>
        <w:spacing w:before="40" w:after="40"/>
      </w:pPr>
      <w:r>
        <w:rPr>
          <w:rFonts w:ascii="Arial" w:cs="Arial" w:eastAsia="Arial" w:hAnsi="Arial"/>
          <w:b w:val="false"/>
          <w:bCs w:val="false"/>
          <w:sz w:val="22"/>
          <w:szCs w:val="22"/>
        </w:rPr>
        <w:t xml:space="preserve">Identify staging activity: compressed archives, unusual file copies, data moved to accessible locations prior to exfil</w:t>
      </w:r>
    </w:p>
    <w:p>
      <w:pPr>
        <w:pStyle w:val="ListParagraph"/>
        <w:numPr>
          <w:ilvl w:val="0"/>
          <w:numId w:val="2"/>
        </w:numPr>
        <w:spacing w:before="40" w:after="40"/>
      </w:pPr>
      <w:r>
        <w:rPr>
          <w:rFonts w:ascii="Arial" w:cs="Arial" w:eastAsia="Arial" w:hAnsi="Arial"/>
          <w:b w:val="false"/>
          <w:bCs w:val="false"/>
          <w:sz w:val="22"/>
          <w:szCs w:val="22"/>
        </w:rPr>
        <w:t xml:space="preserve">Identify exfiltration mechanism: cloud upload, email, external transfer, DNS tunnelling, C2 channel, physical media</w:t>
      </w:r>
    </w:p>
    <w:p>
      <w:pPr>
        <w:pStyle w:val="ListParagraph"/>
        <w:numPr>
          <w:ilvl w:val="0"/>
          <w:numId w:val="2"/>
        </w:numPr>
        <w:spacing w:before="40" w:after="40"/>
      </w:pPr>
      <w:r>
        <w:rPr>
          <w:rFonts w:ascii="Arial" w:cs="Arial" w:eastAsia="Arial" w:hAnsi="Arial"/>
          <w:b w:val="false"/>
          <w:bCs w:val="false"/>
          <w:sz w:val="22"/>
          <w:szCs w:val="22"/>
        </w:rPr>
        <w:t xml:space="preserve">Quantify volume: bytes transferred, file count, data classification of exfiltrated content</w:t>
      </w:r>
    </w:p>
    <w:p>
      <w:pPr>
        <w:pStyle w:val="ListParagraph"/>
        <w:numPr>
          <w:ilvl w:val="0"/>
          <w:numId w:val="2"/>
        </w:numPr>
        <w:spacing w:before="40" w:after="40"/>
      </w:pPr>
      <w:r>
        <w:rPr>
          <w:rFonts w:ascii="Arial" w:cs="Arial" w:eastAsia="Arial" w:hAnsi="Arial"/>
          <w:b w:val="false"/>
          <w:bCs w:val="false"/>
          <w:sz w:val="22"/>
          <w:szCs w:val="22"/>
        </w:rPr>
        <w:t xml:space="preserve">Identify destination: external IPs, cloud storage accounts, personal email — map to threat actor infrastructure where possible</w:t>
      </w:r>
    </w:p>
    <w:p>
      <w:pPr>
        <w:pStyle w:val="ListParagraph"/>
        <w:numPr>
          <w:ilvl w:val="0"/>
          <w:numId w:val="2"/>
        </w:numPr>
        <w:spacing w:before="40" w:after="40"/>
      </w:pPr>
      <w:r>
        <w:rPr>
          <w:rFonts w:ascii="Arial" w:cs="Arial" w:eastAsia="Arial" w:hAnsi="Arial"/>
          <w:b w:val="false"/>
          <w:bCs w:val="false"/>
          <w:sz w:val="22"/>
          <w:szCs w:val="22"/>
        </w:rPr>
        <w:t xml:space="preserve">Assess what data could have been accessed even if exfiltration is not confirmed — access equals risk for notification purposes</w:t>
      </w:r>
    </w:p>
    <w:p>
      <w:pPr>
        <w:pStyle w:val="ListParagraph"/>
        <w:numPr>
          <w:ilvl w:val="0"/>
          <w:numId w:val="2"/>
        </w:numPr>
        <w:spacing w:before="40" w:after="40"/>
      </w:pPr>
      <w:r>
        <w:rPr>
          <w:rFonts w:ascii="Arial" w:cs="Arial" w:eastAsia="Arial" w:hAnsi="Arial"/>
          <w:b w:val="false"/>
          <w:bCs w:val="false"/>
          <w:sz w:val="22"/>
          <w:szCs w:val="22"/>
        </w:rPr>
        <w:t xml:space="preserve">Correlate with DLP alerts, proxy logs, firewall egress, and EDR network telemetry</w:t>
      </w:r>
    </w:p>
    <w:p>
      <w:pPr>
        <w:pStyle w:val="Heading2"/>
        <w:spacing w:before="280" w:after="100"/>
      </w:pPr>
      <w:r>
        <w:rPr>
          <w:rFonts w:ascii="Arial" w:cs="Arial" w:eastAsia="Arial" w:hAnsi="Arial"/>
          <w:b/>
          <w:bCs/>
          <w:color w:val="1565C0"/>
          <w:sz w:val="28"/>
          <w:szCs w:val="28"/>
        </w:rPr>
        <w:t xml:space="preserve">6.5 Indicators of Compromise (IOCs)</w:t>
      </w:r>
    </w:p>
    <w:p>
      <w:pPr>
        <w:spacing w:before="60" w:after="60"/>
      </w:pPr>
      <w:r>
        <w:rPr>
          <w:rFonts w:ascii="Arial" w:cs="Arial" w:eastAsia="Arial" w:hAnsi="Arial"/>
          <w:sz w:val="22"/>
          <w:szCs w:val="22"/>
        </w:rPr>
        <w:t xml:space="preserve">IOCs are the technical artefacts — IPs, domains, hashes, registry keys, file names — that can be used to detect, hunt for, and block the threat. They should be derived from the investigation and operationalised as quickly as possible.</w:t>
      </w:r>
    </w:p>
    <w:p>
      <w:pPr>
        <w:pStyle w:val="ListParagraph"/>
        <w:numPr>
          <w:ilvl w:val="0"/>
          <w:numId w:val="2"/>
        </w:numPr>
        <w:spacing w:before="40" w:after="40"/>
      </w:pPr>
      <w:r>
        <w:rPr>
          <w:rFonts w:ascii="Arial" w:cs="Arial" w:eastAsia="Arial" w:hAnsi="Arial"/>
          <w:b w:val="false"/>
          <w:bCs w:val="false"/>
          <w:sz w:val="22"/>
          <w:szCs w:val="22"/>
        </w:rPr>
        <w:t xml:space="preserve">Extract all identified attacker infrastructure: IP addresses, domains, URLs, email addresses</w:t>
      </w:r>
    </w:p>
    <w:p>
      <w:pPr>
        <w:pStyle w:val="ListParagraph"/>
        <w:numPr>
          <w:ilvl w:val="0"/>
          <w:numId w:val="2"/>
        </w:numPr>
        <w:spacing w:before="40" w:after="40"/>
      </w:pPr>
      <w:r>
        <w:rPr>
          <w:rFonts w:ascii="Arial" w:cs="Arial" w:eastAsia="Arial" w:hAnsi="Arial"/>
          <w:b w:val="false"/>
          <w:bCs w:val="false"/>
          <w:sz w:val="22"/>
          <w:szCs w:val="22"/>
        </w:rPr>
        <w:t xml:space="preserve">Extract all identified malicious file hashes (MD5, SHA-1, SHA-256) for tools, payloads, and scripts used</w:t>
      </w:r>
    </w:p>
    <w:p>
      <w:pPr>
        <w:pStyle w:val="ListParagraph"/>
        <w:numPr>
          <w:ilvl w:val="0"/>
          <w:numId w:val="2"/>
        </w:numPr>
        <w:spacing w:before="40" w:after="40"/>
      </w:pPr>
      <w:r>
        <w:rPr>
          <w:rFonts w:ascii="Arial" w:cs="Arial" w:eastAsia="Arial" w:hAnsi="Arial"/>
          <w:b w:val="false"/>
          <w:bCs w:val="false"/>
          <w:sz w:val="22"/>
          <w:szCs w:val="22"/>
        </w:rPr>
        <w:t xml:space="preserve">Extract behavioural IOCs: registry keys, scheduled task names, service names, mutex names, file paths</w:t>
      </w:r>
    </w:p>
    <w:p>
      <w:pPr>
        <w:pStyle w:val="ListParagraph"/>
        <w:numPr>
          <w:ilvl w:val="0"/>
          <w:numId w:val="2"/>
        </w:numPr>
        <w:spacing w:before="40" w:after="40"/>
      </w:pPr>
      <w:r>
        <w:rPr>
          <w:rFonts w:ascii="Arial" w:cs="Arial" w:eastAsia="Arial" w:hAnsi="Arial"/>
          <w:b w:val="false"/>
          <w:bCs w:val="false"/>
          <w:sz w:val="22"/>
          <w:szCs w:val="22"/>
        </w:rPr>
        <w:t xml:space="preserve">Classify IOCs by confidence level: confirmed malicious vs. suspicious vs. associated infrastructure</w:t>
      </w:r>
    </w:p>
    <w:p>
      <w:pPr>
        <w:pStyle w:val="ListParagraph"/>
        <w:numPr>
          <w:ilvl w:val="0"/>
          <w:numId w:val="2"/>
        </w:numPr>
        <w:spacing w:before="40" w:after="40"/>
      </w:pPr>
      <w:r>
        <w:rPr>
          <w:rFonts w:ascii="Arial" w:cs="Arial" w:eastAsia="Arial" w:hAnsi="Arial"/>
          <w:b w:val="false"/>
          <w:bCs w:val="false"/>
          <w:sz w:val="22"/>
          <w:szCs w:val="22"/>
        </w:rPr>
        <w:t xml:space="preserve">Share with threat intelligence team / platform for enrichment and operationalisation</w:t>
      </w:r>
    </w:p>
    <w:p>
      <w:pPr>
        <w:pStyle w:val="ListParagraph"/>
        <w:numPr>
          <w:ilvl w:val="0"/>
          <w:numId w:val="2"/>
        </w:numPr>
        <w:spacing w:before="40" w:after="40"/>
      </w:pPr>
      <w:r>
        <w:rPr>
          <w:rFonts w:ascii="Arial" w:cs="Arial" w:eastAsia="Arial" w:hAnsi="Arial"/>
          <w:b w:val="false"/>
          <w:bCs w:val="false"/>
          <w:sz w:val="22"/>
          <w:szCs w:val="22"/>
        </w:rPr>
        <w:t xml:space="preserve">Feed into detection rules (EDR, SIEM, firewall) as quickly as possible — threat is likely still present or will return</w:t>
      </w:r>
    </w:p>
    <w:p>
      <w:pPr>
        <w:pStyle w:val="ListParagraph"/>
        <w:numPr>
          <w:ilvl w:val="0"/>
          <w:numId w:val="2"/>
        </w:numPr>
        <w:spacing w:before="40" w:after="40"/>
      </w:pPr>
      <w:r>
        <w:rPr>
          <w:rFonts w:ascii="Arial" w:cs="Arial" w:eastAsia="Arial" w:hAnsi="Arial"/>
          <w:b w:val="false"/>
          <w:bCs w:val="false"/>
          <w:sz w:val="22"/>
          <w:szCs w:val="22"/>
        </w:rPr>
        <w:t xml:space="preserve">Share with NCSC, ISAC, or sector peers where appropriate and legally permissible</w:t>
      </w:r>
    </w:p>
    <w:p>
      <w:pPr>
        <w:pStyle w:val="Heading2"/>
        <w:spacing w:before="280" w:after="100"/>
      </w:pPr>
      <w:r>
        <w:rPr>
          <w:rFonts w:ascii="Arial" w:cs="Arial" w:eastAsia="Arial" w:hAnsi="Arial"/>
          <w:b/>
          <w:bCs/>
          <w:color w:val="1565C0"/>
          <w:sz w:val="28"/>
          <w:szCs w:val="28"/>
        </w:rPr>
        <w:t xml:space="preserve">6.6 Account Activity &amp; Privilege Escalation</w:t>
      </w:r>
    </w:p>
    <w:p>
      <w:pPr>
        <w:spacing w:before="60" w:after="60"/>
      </w:pPr>
      <w:r>
        <w:rPr>
          <w:rFonts w:ascii="Arial" w:cs="Arial" w:eastAsia="Arial" w:hAnsi="Arial"/>
          <w:sz w:val="22"/>
          <w:szCs w:val="22"/>
        </w:rPr>
        <w:t xml:space="preserve">Map all accounts used or compromised during the incident: initial accounts, escalated privileges, created accounts, and lateral movement accounts.</w:t>
      </w:r>
    </w:p>
    <w:p>
      <w:pPr>
        <w:pStyle w:val="ListParagraph"/>
        <w:numPr>
          <w:ilvl w:val="0"/>
          <w:numId w:val="2"/>
        </w:numPr>
        <w:spacing w:before="40" w:after="40"/>
      </w:pPr>
      <w:r>
        <w:rPr>
          <w:rFonts w:ascii="Arial" w:cs="Arial" w:eastAsia="Arial" w:hAnsi="Arial"/>
          <w:b w:val="false"/>
          <w:bCs w:val="false"/>
          <w:sz w:val="22"/>
          <w:szCs w:val="22"/>
        </w:rPr>
        <w:t xml:space="preserve">Identify all accounts used by the attacker: compromised user accounts, service accounts, privileged accounts</w:t>
      </w:r>
    </w:p>
    <w:p>
      <w:pPr>
        <w:pStyle w:val="ListParagraph"/>
        <w:numPr>
          <w:ilvl w:val="0"/>
          <w:numId w:val="2"/>
        </w:numPr>
        <w:spacing w:before="40" w:after="40"/>
      </w:pPr>
      <w:r>
        <w:rPr>
          <w:rFonts w:ascii="Arial" w:cs="Arial" w:eastAsia="Arial" w:hAnsi="Arial"/>
          <w:b w:val="false"/>
          <w:bCs w:val="false"/>
          <w:sz w:val="22"/>
          <w:szCs w:val="22"/>
        </w:rPr>
        <w:t xml:space="preserve">Identify privilege escalation path: how did the attacker move from initial access to elevated privilege?</w:t>
      </w:r>
    </w:p>
    <w:p>
      <w:pPr>
        <w:pStyle w:val="ListParagraph"/>
        <w:numPr>
          <w:ilvl w:val="0"/>
          <w:numId w:val="2"/>
        </w:numPr>
        <w:spacing w:before="40" w:after="40"/>
      </w:pPr>
      <w:r>
        <w:rPr>
          <w:rFonts w:ascii="Arial" w:cs="Arial" w:eastAsia="Arial" w:hAnsi="Arial"/>
          <w:b w:val="false"/>
          <w:bCs w:val="false"/>
          <w:sz w:val="22"/>
          <w:szCs w:val="22"/>
        </w:rPr>
        <w:t xml:space="preserve">Identify any new accounts created during the incident — attacker-created accounts are a common persistence mechanism</w:t>
      </w:r>
    </w:p>
    <w:p>
      <w:pPr>
        <w:pStyle w:val="ListParagraph"/>
        <w:numPr>
          <w:ilvl w:val="0"/>
          <w:numId w:val="2"/>
        </w:numPr>
        <w:spacing w:before="40" w:after="40"/>
      </w:pPr>
      <w:r>
        <w:rPr>
          <w:rFonts w:ascii="Arial" w:cs="Arial" w:eastAsia="Arial" w:hAnsi="Arial"/>
          <w:b w:val="false"/>
          <w:bCs w:val="false"/>
          <w:sz w:val="22"/>
          <w:szCs w:val="22"/>
        </w:rPr>
        <w:t xml:space="preserve">Map lateral movement: which accounts were used to access which systems, in what order, by what method (RDP, WMI, PsExec, SMB)</w:t>
      </w:r>
    </w:p>
    <w:p>
      <w:pPr>
        <w:pStyle w:val="ListParagraph"/>
        <w:numPr>
          <w:ilvl w:val="0"/>
          <w:numId w:val="2"/>
        </w:numPr>
        <w:spacing w:before="40" w:after="40"/>
      </w:pPr>
      <w:r>
        <w:rPr>
          <w:rFonts w:ascii="Arial" w:cs="Arial" w:eastAsia="Arial" w:hAnsi="Arial"/>
          <w:b w:val="false"/>
          <w:bCs w:val="false"/>
          <w:sz w:val="22"/>
          <w:szCs w:val="22"/>
        </w:rPr>
        <w:t xml:space="preserve">Identify credential harvesting: LSASS dump, Kerberoasting, DCSync, password spray — determine scope of credential compromise</w:t>
      </w:r>
    </w:p>
    <w:p>
      <w:pPr>
        <w:pStyle w:val="ListParagraph"/>
        <w:numPr>
          <w:ilvl w:val="0"/>
          <w:numId w:val="2"/>
        </w:numPr>
        <w:spacing w:before="40" w:after="40"/>
      </w:pPr>
      <w:r>
        <w:rPr>
          <w:rFonts w:ascii="Arial" w:cs="Arial" w:eastAsia="Arial" w:hAnsi="Arial"/>
          <w:b w:val="false"/>
          <w:bCs w:val="false"/>
          <w:sz w:val="22"/>
          <w:szCs w:val="22"/>
        </w:rPr>
        <w:t xml:space="preserve">Assess whether any credentials remain valid and not yet reset — these represent ongoing risk</w:t>
      </w:r>
    </w:p>
    <w:p>
      <w:pPr>
        <w:pStyle w:val="Heading2"/>
        <w:spacing w:before="280" w:after="100"/>
      </w:pPr>
      <w:r>
        <w:rPr>
          <w:rFonts w:ascii="Arial" w:cs="Arial" w:eastAsia="Arial" w:hAnsi="Arial"/>
          <w:b/>
          <w:bCs/>
          <w:color w:val="1565C0"/>
          <w:sz w:val="28"/>
          <w:szCs w:val="28"/>
        </w:rPr>
        <w:t xml:space="preserve">6.7 Persistence &amp; Backdoors</w:t>
      </w:r>
    </w:p>
    <w:p>
      <w:pPr>
        <w:spacing w:before="60" w:after="60"/>
      </w:pPr>
      <w:r>
        <w:rPr>
          <w:rFonts w:ascii="Arial" w:cs="Arial" w:eastAsia="Arial" w:hAnsi="Arial"/>
          <w:sz w:val="22"/>
          <w:szCs w:val="22"/>
        </w:rPr>
        <w:t xml:space="preserve">Identify all mechanisms the attacker has used to maintain access across reboots, credential resets, and initial containment actions. Incomplete eradication of persistence leads to re-compromise.</w:t>
      </w:r>
    </w:p>
    <w:p>
      <w:pPr>
        <w:pStyle w:val="ListParagraph"/>
        <w:numPr>
          <w:ilvl w:val="0"/>
          <w:numId w:val="2"/>
        </w:numPr>
        <w:spacing w:before="40" w:after="40"/>
      </w:pPr>
      <w:r>
        <w:rPr>
          <w:rFonts w:ascii="Arial" w:cs="Arial" w:eastAsia="Arial" w:hAnsi="Arial"/>
          <w:b w:val="false"/>
          <w:bCs w:val="false"/>
          <w:sz w:val="22"/>
          <w:szCs w:val="22"/>
        </w:rPr>
        <w:t xml:space="preserve">Scheduled tasks: review all tasks created or modified during the incident window across all affected systems</w:t>
      </w:r>
    </w:p>
    <w:p>
      <w:pPr>
        <w:pStyle w:val="ListParagraph"/>
        <w:numPr>
          <w:ilvl w:val="0"/>
          <w:numId w:val="2"/>
        </w:numPr>
        <w:spacing w:before="40" w:after="40"/>
      </w:pPr>
      <w:r>
        <w:rPr>
          <w:rFonts w:ascii="Arial" w:cs="Arial" w:eastAsia="Arial" w:hAnsi="Arial"/>
          <w:b w:val="false"/>
          <w:bCs w:val="false"/>
          <w:sz w:val="22"/>
          <w:szCs w:val="22"/>
        </w:rPr>
        <w:t xml:space="preserve">Services: identify any new or modified services with suspicious binaries, unusual paths, or LOLBin execution</w:t>
      </w:r>
    </w:p>
    <w:p>
      <w:pPr>
        <w:pStyle w:val="ListParagraph"/>
        <w:numPr>
          <w:ilvl w:val="0"/>
          <w:numId w:val="2"/>
        </w:numPr>
        <w:spacing w:before="40" w:after="40"/>
      </w:pPr>
      <w:r>
        <w:rPr>
          <w:rFonts w:ascii="Arial" w:cs="Arial" w:eastAsia="Arial" w:hAnsi="Arial"/>
          <w:b w:val="false"/>
          <w:bCs w:val="false"/>
          <w:sz w:val="22"/>
          <w:szCs w:val="22"/>
        </w:rPr>
        <w:t xml:space="preserve">Registry run keys, startup folders, WMI subscriptions: exhaustively enumerate on all affected systems</w:t>
      </w:r>
    </w:p>
    <w:p>
      <w:pPr>
        <w:pStyle w:val="ListParagraph"/>
        <w:numPr>
          <w:ilvl w:val="0"/>
          <w:numId w:val="2"/>
        </w:numPr>
        <w:spacing w:before="40" w:after="40"/>
      </w:pPr>
      <w:r>
        <w:rPr>
          <w:rFonts w:ascii="Arial" w:cs="Arial" w:eastAsia="Arial" w:hAnsi="Arial"/>
          <w:b w:val="false"/>
          <w:bCs w:val="false"/>
          <w:sz w:val="22"/>
          <w:szCs w:val="22"/>
        </w:rPr>
        <w:t xml:space="preserve">Web shells: inspect all internet-facing application servers for newly created or modified web-accessible files</w:t>
      </w:r>
    </w:p>
    <w:p>
      <w:pPr>
        <w:pStyle w:val="ListParagraph"/>
        <w:numPr>
          <w:ilvl w:val="0"/>
          <w:numId w:val="2"/>
        </w:numPr>
        <w:spacing w:before="40" w:after="40"/>
      </w:pPr>
      <w:r>
        <w:rPr>
          <w:rFonts w:ascii="Arial" w:cs="Arial" w:eastAsia="Arial" w:hAnsi="Arial"/>
          <w:b w:val="false"/>
          <w:bCs w:val="false"/>
          <w:sz w:val="22"/>
          <w:szCs w:val="22"/>
        </w:rPr>
        <w:t xml:space="preserve">Implants and RATs: identify C2 frameworks (Cobalt Strike beacons, Sliver, Brute Ratel, Metasploit) via memory analysis, network beaconing patterns, and named pipe activity</w:t>
      </w:r>
    </w:p>
    <w:p>
      <w:pPr>
        <w:pStyle w:val="ListParagraph"/>
        <w:numPr>
          <w:ilvl w:val="0"/>
          <w:numId w:val="2"/>
        </w:numPr>
        <w:spacing w:before="40" w:after="40"/>
      </w:pPr>
      <w:r>
        <w:rPr>
          <w:rFonts w:ascii="Arial" w:cs="Arial" w:eastAsia="Arial" w:hAnsi="Arial"/>
          <w:b w:val="false"/>
          <w:bCs w:val="false"/>
          <w:sz w:val="22"/>
          <w:szCs w:val="22"/>
        </w:rPr>
        <w:t xml:space="preserve">Account-based persistence: additional admin accounts, modified group memberships, added delegations, OAuth app registrations with persistent tokens</w:t>
      </w:r>
    </w:p>
    <w:p>
      <w:pPr>
        <w:pStyle w:val="ListParagraph"/>
        <w:numPr>
          <w:ilvl w:val="0"/>
          <w:numId w:val="2"/>
        </w:numPr>
        <w:spacing w:before="40" w:after="40"/>
      </w:pPr>
      <w:r>
        <w:rPr>
          <w:rFonts w:ascii="Arial" w:cs="Arial" w:eastAsia="Arial" w:hAnsi="Arial"/>
          <w:b w:val="false"/>
          <w:bCs w:val="false"/>
          <w:sz w:val="22"/>
          <w:szCs w:val="22"/>
        </w:rPr>
        <w:t xml:space="preserve">Cloud persistence: Lambda/Function backdoors, malicious IAM roles, rogue federated identity providers, persistent cloud shell access</w:t>
      </w:r>
    </w:p>
    <w:p>
      <w:pPr>
        <w:pStyle w:val="ListParagraph"/>
        <w:numPr>
          <w:ilvl w:val="0"/>
          <w:numId w:val="2"/>
        </w:numPr>
        <w:spacing w:before="40" w:after="40"/>
      </w:pPr>
      <w:r>
        <w:rPr>
          <w:rFonts w:ascii="Arial" w:cs="Arial" w:eastAsia="Arial" w:hAnsi="Arial"/>
          <w:b w:val="false"/>
          <w:bCs w:val="false"/>
          <w:sz w:val="22"/>
          <w:szCs w:val="22"/>
        </w:rPr>
        <w:t xml:space="preserve">Firmware/UEFI implants: out of scope for most investigations but relevant for nation-state scenarios — engage specialist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6"/>
              <w:left w:val="single" w:color="1E6B3C" w:sz="6"/>
              <w:bottom w:val="single" w:color="1E6B3C" w:sz="6"/>
              <w:right w:val="single" w:color="1E6B3C" w:sz="6"/>
            </w:tcBorders>
            <w:shd w:fill="1E6B3C" w:val="clear"/>
            <w:tcMar>
              <w:top w:type="dxa" w:w="80"/>
              <w:left w:type="dxa" w:w="140"/>
              <w:bottom w:type="dxa" w:w="60"/>
              <w:right w:type="dxa" w:w="140"/>
            </w:tcMar>
          </w:tcPr>
          <w:p>
            <w:pPr>
              <w:spacing w:before="0" w:after="0"/>
            </w:pPr>
            <w:r>
              <w:rPr>
                <w:rFonts w:ascii="Arial" w:cs="Arial" w:eastAsia="Arial" w:hAnsi="Arial"/>
                <w:b/>
                <w:bCs/>
                <w:color w:val="FFFFFF"/>
                <w:sz w:val="20"/>
                <w:szCs w:val="20"/>
              </w:rPr>
              <w:t xml:space="preserve">AUDIT TRAIL — LOG THE FOLLOWING</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For each objective: document the hypothesis, evidence examined, findings, and confidence level.</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Document all negative findings — artefacts examined that did not yield evidence are as important as those that did.</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Record analyst name, date, time, and tool used for every analysis action.</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All findings must be traceable to specific evidence items in the evidence register by evidence ID.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2A4A" w:sz="8"/>
              <w:left w:val="single" w:color="1A2A4A" w:sz="8"/>
              <w:bottom w:val="single" w:color="1A2A4A" w:sz="8"/>
              <w:right w:val="single" w:color="1A2A4A" w:sz="8"/>
            </w:tcBorders>
            <w:shd w:fill="1A2A4A"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48"/>
                <w:szCs w:val="48"/>
              </w:rPr>
              <w:t xml:space="preserve">07</w:t>
            </w:r>
          </w:p>
        </w:tc>
        <w:tc>
          <w:tcPr>
            <w:tcW w:type="dxa" w:w="8160"/>
            <w:tcBorders>
              <w:top w:val="single" w:color="1A2A4A" w:sz="8"/>
              <w:left w:val="single" w:color="1A2A4A" w:sz="8"/>
              <w:bottom w:val="single" w:color="1A2A4A" w:sz="8"/>
              <w:right w:val="single" w:color="1A2A4A" w:sz="8"/>
            </w:tcBorders>
            <w:shd w:fill="2E75B6" w:val="clear"/>
            <w:tcMar>
              <w:top w:type="dxa" w:w="120"/>
              <w:left w:type="dxa" w:w="200"/>
              <w:bottom w:type="dxa" w:w="120"/>
              <w:right w:type="dxa" w:w="160"/>
            </w:tcMar>
          </w:tcPr>
          <w:p>
            <w:pPr>
              <w:spacing w:before="0" w:after="40"/>
            </w:pPr>
            <w:r>
              <w:rPr>
                <w:rFonts w:ascii="Arial" w:cs="Arial" w:eastAsia="Arial" w:hAnsi="Arial"/>
                <w:b/>
                <w:bCs/>
                <w:color w:val="FFFFFF"/>
                <w:sz w:val="32"/>
                <w:szCs w:val="32"/>
              </w:rPr>
              <w:t xml:space="preserve">Analysis Workflow</w:t>
            </w:r>
          </w:p>
          <w:p>
            <w:pPr>
              <w:spacing w:before="0" w:after="0"/>
            </w:pPr>
            <w:r>
              <w:rPr>
                <w:rFonts w:ascii="Arial" w:cs="Arial" w:eastAsia="Arial" w:hAnsi="Arial"/>
                <w:i/>
                <w:iCs/>
                <w:color w:val="BDD7EE"/>
                <w:sz w:val="20"/>
                <w:szCs w:val="20"/>
              </w:rPr>
              <w:t xml:space="preserve">Structured approach from triage through hypothesis validation to scope confirmation</w:t>
            </w:r>
          </w:p>
        </w:tc>
      </w:tr>
    </w:tbl>
    <w:p>
      <w:pPr>
        <w:pStyle w:val="Heading2"/>
        <w:spacing w:before="280" w:after="100"/>
      </w:pPr>
      <w:r>
        <w:rPr>
          <w:rFonts w:ascii="Arial" w:cs="Arial" w:eastAsia="Arial" w:hAnsi="Arial"/>
          <w:b/>
          <w:bCs/>
          <w:color w:val="1565C0"/>
          <w:sz w:val="28"/>
          <w:szCs w:val="28"/>
        </w:rPr>
        <w:t xml:space="preserve">7.1 Analysis Phases</w:t>
      </w:r>
    </w:p>
    <w:p>
      <w:pPr>
        <w:spacing w:before="60" w:after="60"/>
      </w:pPr>
      <w:r>
        <w:rPr>
          <w:rFonts w:ascii="Arial" w:cs="Arial" w:eastAsia="Arial" w:hAnsi="Arial"/>
          <w:sz w:val="22"/>
          <w:szCs w:val="22"/>
        </w:rPr>
        <w:t xml:space="preserve">The analysis workflow moves through five iterative phases. It is not a strictly linear process — findings at any phase may require returning to an earlier phase. All pivots must be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Phase</w:t>
            </w:r>
          </w:p>
        </w:tc>
        <w:tc>
          <w:tcPr>
            <w:tcW w:type="dxa" w:w="696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Phase 1: Triage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Rapid initial analysis of highest-priority artefacts to establish: is this a real incident, what type, what is the initial scope, and what needs immediate containment? Goal is speed, not completeness.</w:t>
            </w:r>
          </w:p>
        </w:tc>
      </w:tr>
      <w:tr>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Phase 2: Timeline Build</w:t>
            </w:r>
          </w:p>
        </w:tc>
        <w:tc>
          <w:tcPr>
            <w:tcW w:type="dxa" w:w="69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Construct a chronological record of attacker activity using all available data sources. Normalise all timestamps to UTC. Identify gaps. This is the foundation for all subsequent analysis.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Phase 3: Hypothesis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Formulate specific, testable hypotheses based on initial findings: "The attacker used account X to move laterally to server Y between times A and B." Each hypothesis must be tested against evidence.</w:t>
            </w:r>
          </w:p>
        </w:tc>
      </w:tr>
      <w:tr>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Phase 4: Validate &amp; Pivot</w:t>
            </w:r>
          </w:p>
        </w:tc>
        <w:tc>
          <w:tcPr>
            <w:tcW w:type="dxa" w:w="69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Test each hypothesis against evidence. Confirmed findings extend the scope of investigation. Refuted findings are still documented. New evidence pivots back into the hypothesis phase.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Phase 5: Scope Confirm</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Confirm the full scope of compromise: every affected system, account, data store, and time period. The scope confirmation is the gating checkpoint before eradication can begin.</w:t>
            </w:r>
          </w:p>
        </w:tc>
      </w:tr>
    </w:tbl>
    <w:p>
      <w:pPr>
        <w:pStyle w:val="Heading2"/>
        <w:spacing w:before="280" w:after="100"/>
      </w:pPr>
      <w:r>
        <w:rPr>
          <w:rFonts w:ascii="Arial" w:cs="Arial" w:eastAsia="Arial" w:hAnsi="Arial"/>
          <w:b/>
          <w:bCs/>
          <w:color w:val="1565C0"/>
          <w:sz w:val="28"/>
          <w:szCs w:val="28"/>
        </w:rPr>
        <w:t xml:space="preserve">7.2 Triage Analysis</w:t>
      </w:r>
    </w:p>
    <w:p>
      <w:pPr>
        <w:spacing w:before="60" w:after="60"/>
      </w:pPr>
      <w:r>
        <w:rPr>
          <w:rFonts w:ascii="Arial" w:cs="Arial" w:eastAsia="Arial" w:hAnsi="Arial"/>
          <w:sz w:val="22"/>
          <w:szCs w:val="22"/>
        </w:rPr>
        <w:t xml:space="preserve">Initial triage should produce three outputs within the first four hours: a confirmed incident type, an initial scope estimate, and a list of priority evidence items for deep analysis.</w:t>
      </w:r>
    </w:p>
    <w:p>
      <w:pPr>
        <w:pStyle w:val="ListParagraph"/>
        <w:numPr>
          <w:ilvl w:val="0"/>
          <w:numId w:val="2"/>
        </w:numPr>
        <w:spacing w:before="40" w:after="40"/>
      </w:pPr>
      <w:r>
        <w:rPr>
          <w:rFonts w:ascii="Arial" w:cs="Arial" w:eastAsia="Arial" w:hAnsi="Arial"/>
          <w:b/>
          <w:bCs/>
          <w:sz w:val="22"/>
          <w:szCs w:val="22"/>
        </w:rPr>
        <w:t xml:space="preserve">Start with EDR/XDR telemetry — broadest coverage, fastest pivoting</w:t>
      </w:r>
    </w:p>
    <w:p>
      <w:pPr>
        <w:pStyle w:val="ListParagraph"/>
        <w:numPr>
          <w:ilvl w:val="0"/>
          <w:numId w:val="2"/>
        </w:numPr>
        <w:spacing w:before="40" w:after="40"/>
      </w:pPr>
      <w:r>
        <w:rPr>
          <w:rFonts w:ascii="Arial" w:cs="Arial" w:eastAsia="Arial" w:hAnsi="Arial"/>
          <w:b w:val="false"/>
          <w:bCs w:val="false"/>
          <w:sz w:val="22"/>
          <w:szCs w:val="22"/>
        </w:rPr>
        <w:t xml:space="preserve">Review SIEM alerts for the 72 hours preceding the reported detection — look for earlier indicators that did not trigger alerts</w:t>
      </w:r>
    </w:p>
    <w:p>
      <w:pPr>
        <w:pStyle w:val="ListParagraph"/>
        <w:numPr>
          <w:ilvl w:val="0"/>
          <w:numId w:val="2"/>
        </w:numPr>
        <w:spacing w:before="40" w:after="40"/>
      </w:pPr>
      <w:r>
        <w:rPr>
          <w:rFonts w:ascii="Arial" w:cs="Arial" w:eastAsia="Arial" w:hAnsi="Arial"/>
          <w:b w:val="false"/>
          <w:bCs w:val="false"/>
          <w:sz w:val="22"/>
          <w:szCs w:val="22"/>
        </w:rPr>
        <w:t xml:space="preserve">Check for known attacker TTPs matching the incident type (e.g. LSASS access for ransomware pre-cursor, scheduled task creation for persistence)</w:t>
      </w:r>
    </w:p>
    <w:p>
      <w:pPr>
        <w:pStyle w:val="ListParagraph"/>
        <w:numPr>
          <w:ilvl w:val="0"/>
          <w:numId w:val="2"/>
        </w:numPr>
        <w:spacing w:before="40" w:after="40"/>
      </w:pPr>
      <w:r>
        <w:rPr>
          <w:rFonts w:ascii="Arial" w:cs="Arial" w:eastAsia="Arial" w:hAnsi="Arial"/>
          <w:b w:val="false"/>
          <w:bCs w:val="false"/>
          <w:sz w:val="22"/>
          <w:szCs w:val="22"/>
        </w:rPr>
        <w:t xml:space="preserve">Identify and prioritise the most critical evidence items for full forensic analysis: patient zero, domain controllers, crown-jewel data stores</w:t>
      </w:r>
    </w:p>
    <w:p>
      <w:pPr>
        <w:pStyle w:val="ListParagraph"/>
        <w:numPr>
          <w:ilvl w:val="0"/>
          <w:numId w:val="2"/>
        </w:numPr>
        <w:spacing w:before="40" w:after="40"/>
      </w:pPr>
      <w:r>
        <w:rPr>
          <w:rFonts w:ascii="Arial" w:cs="Arial" w:eastAsia="Arial" w:hAnsi="Arial"/>
          <w:b w:val="false"/>
          <w:bCs w:val="false"/>
          <w:sz w:val="22"/>
          <w:szCs w:val="22"/>
        </w:rPr>
        <w:t xml:space="preserve">Produce an initial scope map: confirmed compromised vs. potentially compromised vs. likely clean</w:t>
      </w:r>
    </w:p>
    <w:p>
      <w:pPr>
        <w:pStyle w:val="Heading2"/>
        <w:spacing w:before="280" w:after="100"/>
      </w:pPr>
      <w:r>
        <w:rPr>
          <w:rFonts w:ascii="Arial" w:cs="Arial" w:eastAsia="Arial" w:hAnsi="Arial"/>
          <w:b/>
          <w:bCs/>
          <w:color w:val="1565C0"/>
          <w:sz w:val="28"/>
          <w:szCs w:val="28"/>
        </w:rPr>
        <w:t xml:space="preserve">7.3 Timeline Construction</w:t>
      </w:r>
    </w:p>
    <w:p>
      <w:pPr>
        <w:spacing w:before="60" w:after="60"/>
      </w:pPr>
      <w:r>
        <w:rPr>
          <w:rFonts w:ascii="Arial" w:cs="Arial" w:eastAsia="Arial" w:hAnsi="Arial"/>
          <w:sz w:val="22"/>
          <w:szCs w:val="22"/>
        </w:rPr>
        <w:t xml:space="preserve">The investigation timeline is a structured log of events ordered by UTC timestamp. It is built incrementally as evidence is analysed and refined as findings are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2E75B6" w:val="clear"/>
            <w:tcMar>
              <w:top w:type="dxa" w:w="80"/>
              <w:left w:type="dxa" w:w="140"/>
              <w:bottom w:type="dxa" w:w="60"/>
              <w:right w:type="dxa" w:w="140"/>
            </w:tcMar>
          </w:tcPr>
          <w:p>
            <w:pPr>
              <w:spacing w:before="0" w:after="0"/>
            </w:pPr>
            <w:r>
              <w:rPr>
                <w:rFonts w:ascii="Arial" w:cs="Arial" w:eastAsia="Arial" w:hAnsi="Arial"/>
                <w:b/>
                <w:bCs/>
                <w:color w:val="1A2A4A"/>
                <w:sz w:val="20"/>
                <w:szCs w:val="20"/>
              </w:rPr>
              <w:t xml:space="preserve">TIMELINE FIELDS — MINIMUM STANDARD</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UTC Timestamp  |  Source System  |  Log Source / Artefact  |  Event Description</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Attacker Action (if attributable)  |  Evidence ID  |  Analyst  |  Confidence (High / Medium / Low)</w:t>
            </w:r>
          </w:p>
        </w:tc>
      </w:tr>
    </w:tbl>
    <w:p>
      <w:pPr>
        <w:pStyle w:val="ListParagraph"/>
        <w:numPr>
          <w:ilvl w:val="0"/>
          <w:numId w:val="2"/>
        </w:numPr>
        <w:spacing w:before="40" w:after="40"/>
      </w:pPr>
      <w:r>
        <w:rPr>
          <w:rFonts w:ascii="Arial" w:cs="Arial" w:eastAsia="Arial" w:hAnsi="Arial"/>
          <w:b w:val="false"/>
          <w:bCs w:val="false"/>
          <w:sz w:val="22"/>
          <w:szCs w:val="22"/>
        </w:rPr>
        <w:t xml:space="preserve">All timestamps must be converted to UTC — document time zone and any observed clock skew per system</w:t>
      </w:r>
    </w:p>
    <w:p>
      <w:pPr>
        <w:pStyle w:val="ListParagraph"/>
        <w:numPr>
          <w:ilvl w:val="0"/>
          <w:numId w:val="2"/>
        </w:numPr>
        <w:spacing w:before="40" w:after="40"/>
      </w:pPr>
      <w:r>
        <w:rPr>
          <w:rFonts w:ascii="Arial" w:cs="Arial" w:eastAsia="Arial" w:hAnsi="Arial"/>
          <w:b w:val="false"/>
          <w:bCs w:val="false"/>
          <w:sz w:val="22"/>
          <w:szCs w:val="22"/>
        </w:rPr>
        <w:t xml:space="preserve">Correlate events across multiple sources to increase confidence: a single-source event is low confidence; three independent sources corroborating the same event is high confidence</w:t>
      </w:r>
    </w:p>
    <w:p>
      <w:pPr>
        <w:pStyle w:val="ListParagraph"/>
        <w:numPr>
          <w:ilvl w:val="0"/>
          <w:numId w:val="2"/>
        </w:numPr>
        <w:spacing w:before="40" w:after="40"/>
      </w:pPr>
      <w:r>
        <w:rPr>
          <w:rFonts w:ascii="Arial" w:cs="Arial" w:eastAsia="Arial" w:hAnsi="Arial"/>
          <w:b w:val="false"/>
          <w:bCs w:val="false"/>
          <w:sz w:val="22"/>
          <w:szCs w:val="22"/>
        </w:rPr>
        <w:t xml:space="preserve">Mark timeline gaps explicitly — periods with no log coverage are findings, not simply blank spaces</w:t>
      </w:r>
    </w:p>
    <w:p>
      <w:pPr>
        <w:pStyle w:val="ListParagraph"/>
        <w:numPr>
          <w:ilvl w:val="0"/>
          <w:numId w:val="2"/>
        </w:numPr>
        <w:spacing w:before="40" w:after="40"/>
      </w:pPr>
      <w:r>
        <w:rPr>
          <w:rFonts w:ascii="Arial" w:cs="Arial" w:eastAsia="Arial" w:hAnsi="Arial"/>
          <w:b w:val="false"/>
          <w:bCs w:val="false"/>
          <w:sz w:val="22"/>
          <w:szCs w:val="22"/>
        </w:rPr>
        <w:t xml:space="preserve">Use the timeline to identify attacker dwell time, speed of movement, and automation vs. manual activity</w:t>
      </w:r>
    </w:p>
    <w:p>
      <w:pPr>
        <w:pStyle w:val="ListParagraph"/>
        <w:numPr>
          <w:ilvl w:val="0"/>
          <w:numId w:val="2"/>
        </w:numPr>
        <w:spacing w:before="40" w:after="40"/>
      </w:pPr>
      <w:r>
        <w:rPr>
          <w:rFonts w:ascii="Arial" w:cs="Arial" w:eastAsia="Arial" w:hAnsi="Arial"/>
          <w:b w:val="false"/>
          <w:bCs w:val="false"/>
          <w:sz w:val="22"/>
          <w:szCs w:val="22"/>
        </w:rPr>
        <w:t xml:space="preserve">Share the draft timeline with the IR team regularly — others may recognise events or identify inconsistencies</w:t>
      </w:r>
    </w:p>
    <w:p>
      <w:pPr>
        <w:pStyle w:val="Heading2"/>
        <w:spacing w:before="280" w:after="100"/>
      </w:pPr>
      <w:r>
        <w:rPr>
          <w:rFonts w:ascii="Arial" w:cs="Arial" w:eastAsia="Arial" w:hAnsi="Arial"/>
          <w:b/>
          <w:bCs/>
          <w:color w:val="1565C0"/>
          <w:sz w:val="28"/>
          <w:szCs w:val="28"/>
        </w:rPr>
        <w:t xml:space="preserve">7.4 Hypothesis-Driven Investigation</w:t>
      </w:r>
    </w:p>
    <w:p>
      <w:pPr>
        <w:spacing w:before="60" w:after="60"/>
      </w:pPr>
      <w:r>
        <w:rPr>
          <w:rFonts w:ascii="Arial" w:cs="Arial" w:eastAsia="Arial" w:hAnsi="Arial"/>
          <w:sz w:val="22"/>
          <w:szCs w:val="22"/>
        </w:rPr>
        <w:t xml:space="preserve">Unstructured "go look at logs" analysis is inefficient and produces incomplete findings. A hypothesis-driven approach ensures the investigation is purposeful, documented, and reproducible.</w:t>
      </w:r>
    </w:p>
    <w:p>
      <w:pPr>
        <w:pStyle w:val="ListParagraph"/>
        <w:numPr>
          <w:ilvl w:val="0"/>
          <w:numId w:val="3"/>
        </w:numPr>
        <w:spacing w:before="60" w:after="60"/>
      </w:pPr>
      <w:r>
        <w:rPr>
          <w:rFonts w:ascii="Arial" w:cs="Arial" w:eastAsia="Arial" w:hAnsi="Arial"/>
          <w:b w:val="false"/>
          <w:bCs w:val="false"/>
          <w:sz w:val="22"/>
          <w:szCs w:val="22"/>
        </w:rPr>
        <w:t xml:space="preserve">State the hypothesis explicitly in writing: "The attacker used service account SVC-BACKUP to access the finance file share between 02:00–04:00 UTC on [date]."</w:t>
      </w:r>
    </w:p>
    <w:p>
      <w:pPr>
        <w:pStyle w:val="ListParagraph"/>
        <w:numPr>
          <w:ilvl w:val="0"/>
          <w:numId w:val="3"/>
        </w:numPr>
        <w:spacing w:before="60" w:after="60"/>
      </w:pPr>
      <w:r>
        <w:rPr>
          <w:rFonts w:ascii="Arial" w:cs="Arial" w:eastAsia="Arial" w:hAnsi="Arial"/>
          <w:b w:val="false"/>
          <w:bCs w:val="false"/>
          <w:sz w:val="22"/>
          <w:szCs w:val="22"/>
        </w:rPr>
        <w:t xml:space="preserve">Identify the evidence sources that would confirm or refute the hypothesis.</w:t>
      </w:r>
    </w:p>
    <w:p>
      <w:pPr>
        <w:pStyle w:val="ListParagraph"/>
        <w:numPr>
          <w:ilvl w:val="0"/>
          <w:numId w:val="3"/>
        </w:numPr>
        <w:spacing w:before="60" w:after="60"/>
      </w:pPr>
      <w:r>
        <w:rPr>
          <w:rFonts w:ascii="Arial" w:cs="Arial" w:eastAsia="Arial" w:hAnsi="Arial"/>
          <w:b w:val="false"/>
          <w:bCs w:val="false"/>
          <w:sz w:val="22"/>
          <w:szCs w:val="22"/>
        </w:rPr>
        <w:t xml:space="preserve">Collect and examine the relevant evidence.</w:t>
      </w:r>
    </w:p>
    <w:p>
      <w:pPr>
        <w:pStyle w:val="ListParagraph"/>
        <w:numPr>
          <w:ilvl w:val="0"/>
          <w:numId w:val="3"/>
        </w:numPr>
        <w:spacing w:before="60" w:after="60"/>
      </w:pPr>
      <w:r>
        <w:rPr>
          <w:rFonts w:ascii="Arial" w:cs="Arial" w:eastAsia="Arial" w:hAnsi="Arial"/>
          <w:b w:val="false"/>
          <w:bCs w:val="false"/>
          <w:sz w:val="22"/>
          <w:szCs w:val="22"/>
        </w:rPr>
        <w:t xml:space="preserve">Document the outcome: confirmed, refuted, or inconclusive (with reason).</w:t>
      </w:r>
    </w:p>
    <w:p>
      <w:pPr>
        <w:pStyle w:val="ListParagraph"/>
        <w:numPr>
          <w:ilvl w:val="0"/>
          <w:numId w:val="3"/>
        </w:numPr>
        <w:spacing w:before="60" w:after="60"/>
      </w:pPr>
      <w:r>
        <w:rPr>
          <w:rFonts w:ascii="Arial" w:cs="Arial" w:eastAsia="Arial" w:hAnsi="Arial"/>
          <w:b w:val="false"/>
          <w:bCs w:val="false"/>
          <w:sz w:val="22"/>
          <w:szCs w:val="22"/>
        </w:rPr>
        <w:t xml:space="preserve">If confirmed: generate new hypotheses from the finding (what did they do next? what did they access?).</w:t>
      </w:r>
    </w:p>
    <w:p>
      <w:pPr>
        <w:pStyle w:val="ListParagraph"/>
        <w:numPr>
          <w:ilvl w:val="0"/>
          <w:numId w:val="3"/>
        </w:numPr>
        <w:spacing w:before="60" w:after="60"/>
      </w:pPr>
      <w:r>
        <w:rPr>
          <w:rFonts w:ascii="Arial" w:cs="Arial" w:eastAsia="Arial" w:hAnsi="Arial"/>
          <w:b w:val="false"/>
          <w:bCs w:val="false"/>
          <w:sz w:val="22"/>
          <w:szCs w:val="22"/>
        </w:rPr>
        <w:t xml:space="preserve">If refuted: document the refutation evidence and revise the hypothesis or move to the next.</w:t>
      </w:r>
    </w:p>
    <w:p>
      <w:pPr>
        <w:pStyle w:val="ListParagraph"/>
        <w:numPr>
          <w:ilvl w:val="0"/>
          <w:numId w:val="3"/>
        </w:numPr>
        <w:spacing w:before="60" w:after="60"/>
      </w:pPr>
      <w:r>
        <w:rPr>
          <w:rFonts w:ascii="Arial" w:cs="Arial" w:eastAsia="Arial" w:hAnsi="Arial"/>
          <w:b w:val="false"/>
          <w:bCs w:val="false"/>
          <w:sz w:val="22"/>
          <w:szCs w:val="22"/>
        </w:rPr>
        <w:t xml:space="preserve">If inconclusive: document the evidence gap — missing logs, insufficient retention, encrypted traffic.</w:t>
      </w:r>
    </w:p>
    <w:p>
      <w:pPr>
        <w:pStyle w:val="Heading2"/>
        <w:spacing w:before="280" w:after="100"/>
      </w:pPr>
      <w:r>
        <w:rPr>
          <w:rFonts w:ascii="Arial" w:cs="Arial" w:eastAsia="Arial" w:hAnsi="Arial"/>
          <w:b/>
          <w:bCs/>
          <w:color w:val="1565C0"/>
          <w:sz w:val="28"/>
          <w:szCs w:val="28"/>
        </w:rPr>
        <w:t xml:space="preserve">7.5 Scope Confirmation</w:t>
      </w:r>
    </w:p>
    <w:p>
      <w:pPr>
        <w:spacing w:before="60" w:after="60"/>
      </w:pPr>
      <w:r>
        <w:rPr>
          <w:rFonts w:ascii="Arial" w:cs="Arial" w:eastAsia="Arial" w:hAnsi="Arial"/>
          <w:sz w:val="22"/>
          <w:szCs w:val="22"/>
        </w:rPr>
        <w:t xml:space="preserve">Before eradication can begin, scope must be confirmed. Premature eradication on an incompletely scoped incident results in missed persistence mechanisms and re-compromise.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6"/>
              <w:left w:val="single" w:color="1E6B3C" w:sz="6"/>
              <w:bottom w:val="single" w:color="1E6B3C" w:sz="6"/>
              <w:right w:val="single" w:color="1E6B3C" w:sz="6"/>
            </w:tcBorders>
            <w:shd w:fill="1E6B3C" w:val="clear"/>
            <w:tcMar>
              <w:top w:type="dxa" w:w="80"/>
              <w:left w:type="dxa" w:w="140"/>
              <w:bottom w:type="dxa" w:w="60"/>
              <w:right w:type="dxa" w:w="140"/>
            </w:tcMar>
          </w:tcPr>
          <w:p>
            <w:pPr>
              <w:spacing w:before="0" w:after="0"/>
            </w:pPr>
            <w:r>
              <w:rPr>
                <w:rFonts w:ascii="Arial" w:cs="Arial" w:eastAsia="Arial" w:hAnsi="Arial"/>
                <w:b/>
                <w:bCs/>
                <w:color w:val="FFFFFF"/>
                <w:sz w:val="20"/>
                <w:szCs w:val="20"/>
              </w:rPr>
              <w:t xml:space="preserve">SCOPE CONFIRMATION CHECKLIST — SIGN-OFF REQUIRED BEFORE ERADICATION</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 ] Root cause and initial access vector identified and confirmed</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 ] Full list of affected systems validated against network evidence</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 ] Full list of compromised accounts validated</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 ] All persistence mechanisms identified across all affected systems</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 ] Data exfiltration scope assessed — volume, classification, destination</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 ] Timeline complete from T0 to detection with gaps documented</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 ] IOC list generated and shared with detection team</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 ] Scope confirmation signed off by IR Lead and CISO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6"/>
              <w:left w:val="single" w:color="1E6B3C" w:sz="6"/>
              <w:bottom w:val="single" w:color="1E6B3C" w:sz="6"/>
              <w:right w:val="single" w:color="1E6B3C" w:sz="6"/>
            </w:tcBorders>
            <w:shd w:fill="1E6B3C" w:val="clear"/>
            <w:tcMar>
              <w:top w:type="dxa" w:w="80"/>
              <w:left w:type="dxa" w:w="140"/>
              <w:bottom w:type="dxa" w:w="60"/>
              <w:right w:type="dxa" w:w="140"/>
            </w:tcMar>
          </w:tcPr>
          <w:p>
            <w:pPr>
              <w:spacing w:before="0" w:after="0"/>
            </w:pPr>
            <w:r>
              <w:rPr>
                <w:rFonts w:ascii="Arial" w:cs="Arial" w:eastAsia="Arial" w:hAnsi="Arial"/>
                <w:b/>
                <w:bCs/>
                <w:color w:val="FFFFFF"/>
                <w:sz w:val="20"/>
                <w:szCs w:val="20"/>
              </w:rPr>
              <w:t xml:space="preserve">AUDIT TRAIL — LOG THE FOLLOWING</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Document every analytical hypothesis, the evidence examined, and the outcome.</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Record every tool used in analysis: name, version, configuration, and output hash.</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Record all analyst actions with timestamps — analysis actions are themselves part of the evidence record.</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Any change to scope must be documented: what changed, why, what evidence drove the change.</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Scope confirmation must be signed off in writing before eradication begins.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2A4A" w:sz="8"/>
              <w:left w:val="single" w:color="1A2A4A" w:sz="8"/>
              <w:bottom w:val="single" w:color="1A2A4A" w:sz="8"/>
              <w:right w:val="single" w:color="1A2A4A" w:sz="8"/>
            </w:tcBorders>
            <w:shd w:fill="1A2A4A"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48"/>
                <w:szCs w:val="48"/>
              </w:rPr>
              <w:t xml:space="preserve">08</w:t>
            </w:r>
          </w:p>
        </w:tc>
        <w:tc>
          <w:tcPr>
            <w:tcW w:type="dxa" w:w="8160"/>
            <w:tcBorders>
              <w:top w:val="single" w:color="1A2A4A" w:sz="8"/>
              <w:left w:val="single" w:color="1A2A4A" w:sz="8"/>
              <w:bottom w:val="single" w:color="1A2A4A" w:sz="8"/>
              <w:right w:val="single" w:color="1A2A4A" w:sz="8"/>
            </w:tcBorders>
            <w:shd w:fill="2E75B6" w:val="clear"/>
            <w:tcMar>
              <w:top w:type="dxa" w:w="120"/>
              <w:left w:type="dxa" w:w="200"/>
              <w:bottom w:type="dxa" w:w="120"/>
              <w:right w:type="dxa" w:w="160"/>
            </w:tcMar>
          </w:tcPr>
          <w:p>
            <w:pPr>
              <w:spacing w:before="0" w:after="40"/>
            </w:pPr>
            <w:r>
              <w:rPr>
                <w:rFonts w:ascii="Arial" w:cs="Arial" w:eastAsia="Arial" w:hAnsi="Arial"/>
                <w:b/>
                <w:bCs/>
                <w:color w:val="FFFFFF"/>
                <w:sz w:val="32"/>
                <w:szCs w:val="32"/>
              </w:rPr>
              <w:t xml:space="preserve">Reporting</w:t>
            </w:r>
          </w:p>
          <w:p>
            <w:pPr>
              <w:spacing w:before="0" w:after="0"/>
            </w:pPr>
            <w:r>
              <w:rPr>
                <w:rFonts w:ascii="Arial" w:cs="Arial" w:eastAsia="Arial" w:hAnsi="Arial"/>
                <w:i/>
                <w:iCs/>
                <w:color w:val="BDD7EE"/>
                <w:sz w:val="20"/>
                <w:szCs w:val="20"/>
              </w:rPr>
              <w:t xml:space="preserve">Executive summary, technical findings, evidence appendix, and regulatory deliverables</w:t>
            </w:r>
          </w:p>
        </w:tc>
      </w:tr>
    </w:tbl>
    <w:p>
      <w:pPr>
        <w:pStyle w:val="Heading2"/>
        <w:spacing w:before="280" w:after="100"/>
      </w:pPr>
      <w:r>
        <w:rPr>
          <w:rFonts w:ascii="Arial" w:cs="Arial" w:eastAsia="Arial" w:hAnsi="Arial"/>
          <w:b/>
          <w:bCs/>
          <w:color w:val="1565C0"/>
          <w:sz w:val="28"/>
          <w:szCs w:val="28"/>
        </w:rPr>
        <w:t xml:space="preserve">8.1 Report Types</w:t>
      </w:r>
    </w:p>
    <w:p>
      <w:pPr>
        <w:spacing w:before="60" w:after="60"/>
      </w:pPr>
      <w:r>
        <w:rPr>
          <w:rFonts w:ascii="Arial" w:cs="Arial" w:eastAsia="Arial" w:hAnsi="Arial"/>
          <w:sz w:val="22"/>
          <w:szCs w:val="22"/>
        </w:rPr>
        <w:t xml:space="preserve">A DFIR investigation typically produces three distinct report deliverables, each targeted at a different audience. All three share the same underlying factual findings but differ in depth, language, and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Report Type</w:t>
            </w:r>
          </w:p>
        </w:tc>
        <w:tc>
          <w:tcPr>
            <w:tcW w:type="dxa" w:w="656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Audience &amp; Content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Executive Summary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Audience: Board, CEO, CLO, regulators. 2–4 pages maximum. Narrative-led. Covers: what happened, business impact, data at risk, regulatory status, and what is being done. No technical jargon.</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Technical Findings Report</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Audience: CISO, IT leadership, legal, external counsel. Full depth. Covers: complete timeline, root cause analysis, attacker TTPs, affected systems/accounts, IOC list, evidence base.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Evidence Appendix</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Audience: Legal, regulators, law enforcement. All supporting evidence: evidence register, chain of custody log, hash values, tool outputs, timeline with source citations. Never shared publicly.</w:t>
            </w:r>
          </w:p>
        </w:tc>
      </w:tr>
    </w:tbl>
    <w:p>
      <w:pPr>
        <w:pStyle w:val="Heading2"/>
        <w:spacing w:before="280" w:after="100"/>
      </w:pPr>
      <w:r>
        <w:rPr>
          <w:rFonts w:ascii="Arial" w:cs="Arial" w:eastAsia="Arial" w:hAnsi="Arial"/>
          <w:b/>
          <w:bCs/>
          <w:color w:val="1565C0"/>
          <w:sz w:val="28"/>
          <w:szCs w:val="28"/>
        </w:rPr>
        <w:t xml:space="preserve">8.2 Executive Summary — Structure</w:t>
      </w:r>
    </w:p>
    <w:p>
      <w:pPr>
        <w:pStyle w:val="ListParagraph"/>
        <w:numPr>
          <w:ilvl w:val="0"/>
          <w:numId w:val="3"/>
        </w:numPr>
        <w:spacing w:before="60" w:after="60"/>
      </w:pPr>
      <w:r>
        <w:rPr>
          <w:rFonts w:ascii="Arial" w:cs="Arial" w:eastAsia="Arial" w:hAnsi="Arial"/>
          <w:b/>
          <w:bCs/>
          <w:sz w:val="22"/>
          <w:szCs w:val="22"/>
        </w:rPr>
        <w:t xml:space="preserve">Incident Overview — one paragraph: what happened, when detected, current status.</w:t>
      </w:r>
    </w:p>
    <w:p>
      <w:pPr>
        <w:pStyle w:val="ListParagraph"/>
        <w:numPr>
          <w:ilvl w:val="0"/>
          <w:numId w:val="3"/>
        </w:numPr>
        <w:spacing w:before="60" w:after="60"/>
      </w:pPr>
      <w:r>
        <w:rPr>
          <w:rFonts w:ascii="Arial" w:cs="Arial" w:eastAsia="Arial" w:hAnsi="Arial"/>
          <w:b w:val="false"/>
          <w:bCs w:val="false"/>
          <w:sz w:val="22"/>
          <w:szCs w:val="22"/>
        </w:rPr>
        <w:t xml:space="preserve">Timeline Summary — key dates: first attacker activity, detection, containment, current state.</w:t>
      </w:r>
    </w:p>
    <w:p>
      <w:pPr>
        <w:pStyle w:val="ListParagraph"/>
        <w:numPr>
          <w:ilvl w:val="0"/>
          <w:numId w:val="3"/>
        </w:numPr>
        <w:spacing w:before="60" w:after="60"/>
      </w:pPr>
      <w:r>
        <w:rPr>
          <w:rFonts w:ascii="Arial" w:cs="Arial" w:eastAsia="Arial" w:hAnsi="Arial"/>
          <w:b w:val="false"/>
          <w:bCs w:val="false"/>
          <w:sz w:val="22"/>
          <w:szCs w:val="22"/>
        </w:rPr>
        <w:t xml:space="preserve">Business Impact — operational disruption, financial impact, affected customers/partners.</w:t>
      </w:r>
    </w:p>
    <w:p>
      <w:pPr>
        <w:pStyle w:val="ListParagraph"/>
        <w:numPr>
          <w:ilvl w:val="0"/>
          <w:numId w:val="3"/>
        </w:numPr>
        <w:spacing w:before="60" w:after="60"/>
      </w:pPr>
      <w:r>
        <w:rPr>
          <w:rFonts w:ascii="Arial" w:cs="Arial" w:eastAsia="Arial" w:hAnsi="Arial"/>
          <w:b w:val="false"/>
          <w:bCs w:val="false"/>
          <w:sz w:val="22"/>
          <w:szCs w:val="22"/>
        </w:rPr>
        <w:t xml:space="preserve">Data at Risk — categories of data that were accessed or potentially accessed; personal data volumes.</w:t>
      </w:r>
    </w:p>
    <w:p>
      <w:pPr>
        <w:pStyle w:val="ListParagraph"/>
        <w:numPr>
          <w:ilvl w:val="0"/>
          <w:numId w:val="3"/>
        </w:numPr>
        <w:spacing w:before="60" w:after="60"/>
      </w:pPr>
      <w:r>
        <w:rPr>
          <w:rFonts w:ascii="Arial" w:cs="Arial" w:eastAsia="Arial" w:hAnsi="Arial"/>
          <w:b w:val="false"/>
          <w:bCs w:val="false"/>
          <w:sz w:val="22"/>
          <w:szCs w:val="22"/>
        </w:rPr>
        <w:t xml:space="preserve">Regulatory Status — notifications made, pending notifications, regulatory engagement status.</w:t>
      </w:r>
    </w:p>
    <w:p>
      <w:pPr>
        <w:pStyle w:val="ListParagraph"/>
        <w:numPr>
          <w:ilvl w:val="0"/>
          <w:numId w:val="3"/>
        </w:numPr>
        <w:spacing w:before="60" w:after="60"/>
      </w:pPr>
      <w:r>
        <w:rPr>
          <w:rFonts w:ascii="Arial" w:cs="Arial" w:eastAsia="Arial" w:hAnsi="Arial"/>
          <w:b w:val="false"/>
          <w:bCs w:val="false"/>
          <w:sz w:val="22"/>
          <w:szCs w:val="22"/>
        </w:rPr>
        <w:t xml:space="preserve">Actions Taken — containment steps, eradication progress, recovery status.</w:t>
      </w:r>
    </w:p>
    <w:p>
      <w:pPr>
        <w:pStyle w:val="ListParagraph"/>
        <w:numPr>
          <w:ilvl w:val="0"/>
          <w:numId w:val="3"/>
        </w:numPr>
        <w:spacing w:before="60" w:after="60"/>
      </w:pPr>
      <w:r>
        <w:rPr>
          <w:rFonts w:ascii="Arial" w:cs="Arial" w:eastAsia="Arial" w:hAnsi="Arial"/>
          <w:b w:val="false"/>
          <w:bCs w:val="false"/>
          <w:sz w:val="22"/>
          <w:szCs w:val="22"/>
        </w:rPr>
        <w:t xml:space="preserve">Outstanding Risks — what is still unresolved and what decisions are required from the executive.</w:t>
      </w:r>
    </w:p>
    <w:p>
      <w:pPr>
        <w:pStyle w:val="Heading2"/>
        <w:spacing w:before="280" w:after="100"/>
      </w:pPr>
      <w:r>
        <w:rPr>
          <w:rFonts w:ascii="Arial" w:cs="Arial" w:eastAsia="Arial" w:hAnsi="Arial"/>
          <w:b/>
          <w:bCs/>
          <w:color w:val="1565C0"/>
          <w:sz w:val="28"/>
          <w:szCs w:val="28"/>
        </w:rPr>
        <w:t xml:space="preserve">8.3 Technical Findings Report — Structure</w:t>
      </w:r>
    </w:p>
    <w:p>
      <w:pPr>
        <w:pStyle w:val="ListParagraph"/>
        <w:numPr>
          <w:ilvl w:val="0"/>
          <w:numId w:val="3"/>
        </w:numPr>
        <w:spacing w:before="60" w:after="60"/>
      </w:pPr>
      <w:r>
        <w:rPr>
          <w:rFonts w:ascii="Arial" w:cs="Arial" w:eastAsia="Arial" w:hAnsi="Arial"/>
          <w:b/>
          <w:bCs/>
          <w:sz w:val="22"/>
          <w:szCs w:val="22"/>
        </w:rPr>
        <w:t xml:space="preserve">Investigation Metadata — case reference, dates, lead investigator, scope, evidence register reference.</w:t>
      </w:r>
    </w:p>
    <w:p>
      <w:pPr>
        <w:pStyle w:val="ListParagraph"/>
        <w:numPr>
          <w:ilvl w:val="0"/>
          <w:numId w:val="3"/>
        </w:numPr>
        <w:spacing w:before="60" w:after="60"/>
      </w:pPr>
      <w:r>
        <w:rPr>
          <w:rFonts w:ascii="Arial" w:cs="Arial" w:eastAsia="Arial" w:hAnsi="Arial"/>
          <w:b w:val="false"/>
          <w:bCs w:val="false"/>
          <w:sz w:val="22"/>
          <w:szCs w:val="22"/>
        </w:rPr>
        <w:t xml:space="preserve">Executive Summary — abbreviated version of the executive report for context.</w:t>
      </w:r>
    </w:p>
    <w:p>
      <w:pPr>
        <w:pStyle w:val="ListParagraph"/>
        <w:numPr>
          <w:ilvl w:val="0"/>
          <w:numId w:val="3"/>
        </w:numPr>
        <w:spacing w:before="60" w:after="60"/>
      </w:pPr>
      <w:r>
        <w:rPr>
          <w:rFonts w:ascii="Arial" w:cs="Arial" w:eastAsia="Arial" w:hAnsi="Arial"/>
          <w:b w:val="false"/>
          <w:bCs w:val="false"/>
          <w:sz w:val="22"/>
          <w:szCs w:val="22"/>
        </w:rPr>
        <w:t xml:space="preserve">Root Cause Analysis — detailed analysis of initial access vector, exploited vulnerability/credential, attacker profile.</w:t>
      </w:r>
    </w:p>
    <w:p>
      <w:pPr>
        <w:pStyle w:val="ListParagraph"/>
        <w:numPr>
          <w:ilvl w:val="0"/>
          <w:numId w:val="3"/>
        </w:numPr>
        <w:spacing w:before="60" w:after="60"/>
      </w:pPr>
      <w:r>
        <w:rPr>
          <w:rFonts w:ascii="Arial" w:cs="Arial" w:eastAsia="Arial" w:hAnsi="Arial"/>
          <w:b w:val="false"/>
          <w:bCs w:val="false"/>
          <w:sz w:val="22"/>
          <w:szCs w:val="22"/>
        </w:rPr>
        <w:t xml:space="preserve">Incident Timeline — full chronological reconstruction, UTC-normalised, with evidence citations.</w:t>
      </w:r>
    </w:p>
    <w:p>
      <w:pPr>
        <w:pStyle w:val="ListParagraph"/>
        <w:numPr>
          <w:ilvl w:val="0"/>
          <w:numId w:val="3"/>
        </w:numPr>
        <w:spacing w:before="60" w:after="60"/>
      </w:pPr>
      <w:r>
        <w:rPr>
          <w:rFonts w:ascii="Arial" w:cs="Arial" w:eastAsia="Arial" w:hAnsi="Arial"/>
          <w:b w:val="false"/>
          <w:bCs w:val="false"/>
          <w:sz w:val="22"/>
          <w:szCs w:val="22"/>
        </w:rPr>
        <w:t xml:space="preserve">Attacker TTPs — MITRE ATT&amp;CK mapping of observed techniques, tools, and procedures.</w:t>
      </w:r>
    </w:p>
    <w:p>
      <w:pPr>
        <w:pStyle w:val="ListParagraph"/>
        <w:numPr>
          <w:ilvl w:val="0"/>
          <w:numId w:val="3"/>
        </w:numPr>
        <w:spacing w:before="60" w:after="60"/>
      </w:pPr>
      <w:r>
        <w:rPr>
          <w:rFonts w:ascii="Arial" w:cs="Arial" w:eastAsia="Arial" w:hAnsi="Arial"/>
          <w:b w:val="false"/>
          <w:bCs w:val="false"/>
          <w:sz w:val="22"/>
          <w:szCs w:val="22"/>
        </w:rPr>
        <w:t xml:space="preserve">Affected Systems — full list with: hostname, IP, role, compromise type, evidence basis.</w:t>
      </w:r>
    </w:p>
    <w:p>
      <w:pPr>
        <w:pStyle w:val="ListParagraph"/>
        <w:numPr>
          <w:ilvl w:val="0"/>
          <w:numId w:val="3"/>
        </w:numPr>
        <w:spacing w:before="60" w:after="60"/>
      </w:pPr>
      <w:r>
        <w:rPr>
          <w:rFonts w:ascii="Arial" w:cs="Arial" w:eastAsia="Arial" w:hAnsi="Arial"/>
          <w:b w:val="false"/>
          <w:bCs w:val="false"/>
          <w:sz w:val="22"/>
          <w:szCs w:val="22"/>
        </w:rPr>
        <w:t xml:space="preserve">Compromised Accounts — full list with: account name, type, privilege level, actions taken by attacker.</w:t>
      </w:r>
    </w:p>
    <w:p>
      <w:pPr>
        <w:pStyle w:val="ListParagraph"/>
        <w:numPr>
          <w:ilvl w:val="0"/>
          <w:numId w:val="3"/>
        </w:numPr>
        <w:spacing w:before="60" w:after="60"/>
      </w:pPr>
      <w:r>
        <w:rPr>
          <w:rFonts w:ascii="Arial" w:cs="Arial" w:eastAsia="Arial" w:hAnsi="Arial"/>
          <w:b w:val="false"/>
          <w:bCs w:val="false"/>
          <w:sz w:val="22"/>
          <w:szCs w:val="22"/>
        </w:rPr>
        <w:t xml:space="preserve">Data Exfiltration Assessment — confirmed and possible exfiltration with volume, classification, and destination.</w:t>
      </w:r>
    </w:p>
    <w:p>
      <w:pPr>
        <w:pStyle w:val="ListParagraph"/>
        <w:numPr>
          <w:ilvl w:val="0"/>
          <w:numId w:val="3"/>
        </w:numPr>
        <w:spacing w:before="60" w:after="60"/>
      </w:pPr>
      <w:r>
        <w:rPr>
          <w:rFonts w:ascii="Arial" w:cs="Arial" w:eastAsia="Arial" w:hAnsi="Arial"/>
          <w:b w:val="false"/>
          <w:bCs w:val="false"/>
          <w:sz w:val="22"/>
          <w:szCs w:val="22"/>
        </w:rPr>
        <w:t xml:space="preserve">Persistence Mechanisms — all identified persistence mechanisms with location and evidence basis.</w:t>
      </w:r>
    </w:p>
    <w:p>
      <w:pPr>
        <w:pStyle w:val="ListParagraph"/>
        <w:numPr>
          <w:ilvl w:val="0"/>
          <w:numId w:val="3"/>
        </w:numPr>
        <w:spacing w:before="60" w:after="60"/>
      </w:pPr>
      <w:r>
        <w:rPr>
          <w:rFonts w:ascii="Arial" w:cs="Arial" w:eastAsia="Arial" w:hAnsi="Arial"/>
          <w:b w:val="false"/>
          <w:bCs w:val="false"/>
          <w:sz w:val="22"/>
          <w:szCs w:val="22"/>
        </w:rPr>
        <w:t xml:space="preserve">IOC List — all technical indicators with confidence level and source.</w:t>
      </w:r>
    </w:p>
    <w:p>
      <w:pPr>
        <w:pStyle w:val="ListParagraph"/>
        <w:numPr>
          <w:ilvl w:val="0"/>
          <w:numId w:val="3"/>
        </w:numPr>
        <w:spacing w:before="60" w:after="60"/>
      </w:pPr>
      <w:r>
        <w:rPr>
          <w:rFonts w:ascii="Arial" w:cs="Arial" w:eastAsia="Arial" w:hAnsi="Arial"/>
          <w:b w:val="false"/>
          <w:bCs w:val="false"/>
          <w:sz w:val="22"/>
          <w:szCs w:val="22"/>
        </w:rPr>
        <w:t xml:space="preserve">Containment &amp; Eradication Actions — what was done, when, by whom.</w:t>
      </w:r>
    </w:p>
    <w:p>
      <w:pPr>
        <w:pStyle w:val="ListParagraph"/>
        <w:numPr>
          <w:ilvl w:val="0"/>
          <w:numId w:val="3"/>
        </w:numPr>
        <w:spacing w:before="60" w:after="60"/>
      </w:pPr>
      <w:r>
        <w:rPr>
          <w:rFonts w:ascii="Arial" w:cs="Arial" w:eastAsia="Arial" w:hAnsi="Arial"/>
          <w:b w:val="false"/>
          <w:bCs w:val="false"/>
          <w:sz w:val="22"/>
          <w:szCs w:val="22"/>
        </w:rPr>
        <w:t xml:space="preserve">Gaps &amp; Limitations — evidence gaps, log coverage failures, areas of uncertainty.</w:t>
      </w:r>
    </w:p>
    <w:p>
      <w:pPr>
        <w:pStyle w:val="Heading2"/>
        <w:spacing w:before="280" w:after="100"/>
      </w:pPr>
      <w:r>
        <w:rPr>
          <w:rFonts w:ascii="Arial" w:cs="Arial" w:eastAsia="Arial" w:hAnsi="Arial"/>
          <w:b/>
          <w:bCs/>
          <w:color w:val="1565C0"/>
          <w:sz w:val="28"/>
          <w:szCs w:val="28"/>
        </w:rPr>
        <w:t xml:space="preserve">8.4 MITRE ATT&amp;CK Mapping</w:t>
      </w:r>
    </w:p>
    <w:p>
      <w:pPr>
        <w:spacing w:before="60" w:after="60"/>
      </w:pPr>
      <w:r>
        <w:rPr>
          <w:rFonts w:ascii="Arial" w:cs="Arial" w:eastAsia="Arial" w:hAnsi="Arial"/>
          <w:sz w:val="22"/>
          <w:szCs w:val="22"/>
        </w:rPr>
        <w:t xml:space="preserve">All identified attacker techniques should be mapped to the MITRE ATT&amp;CK framework. This enables comparison with known threat actor profiles, communication across organisations, and operationalisation of detections.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Tactic</w:t>
            </w:r>
          </w:p>
        </w:tc>
        <w:tc>
          <w:tcPr>
            <w:tcW w:type="dxa" w:w="45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Common Techniques</w:t>
            </w:r>
          </w:p>
        </w:tc>
        <w:tc>
          <w:tcPr>
            <w:tcW w:type="dxa" w:w="286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Initial Access</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T1566 Phishing, T1190 Exploit Public App, T1195 Supply Chain, T1078 Valid Accounts</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Record specific sub-technique, e.g. T1566.001 Spearphishing Attachment</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Execution</w:t>
            </w:r>
          </w:p>
        </w:tc>
        <w:tc>
          <w:tcPr>
            <w:tcW w:type="dxa" w:w="4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T1059 Command Interpreter, T1053 Scheduled Task, T1047 WMI</w:t>
            </w:r>
          </w:p>
        </w:tc>
        <w:tc>
          <w:tcPr>
            <w:tcW w:type="dxa" w:w="2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Note whether attacker used LOLBins (living-off-the-land binaries)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Persistence</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T1547 Boot Autostart, T1543 Create/Modify Service, T1505 Web Shell</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Map each mechanism to a specific ATT&amp;CK technique</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Privilege Escalation</w:t>
            </w:r>
          </w:p>
        </w:tc>
        <w:tc>
          <w:tcPr>
            <w:tcW w:type="dxa" w:w="4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T1068 Exploit for Privesc, T1078.002 Domain Account, T1134 Token Impersonation</w:t>
            </w:r>
          </w:p>
        </w:tc>
        <w:tc>
          <w:tcPr>
            <w:tcW w:type="dxa" w:w="2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Defence Evasion</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T1112 Modify Registry, T1562 Impair Defences, T1070 Indicator Removal</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Note any log clearing, AV disabling, or evidence destruction</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Credential Access</w:t>
            </w:r>
          </w:p>
        </w:tc>
        <w:tc>
          <w:tcPr>
            <w:tcW w:type="dxa" w:w="4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T1003 OS Credential Dumping, T1110 Brute Force, T1558 Kerberoasting</w:t>
            </w:r>
          </w:p>
        </w:tc>
        <w:tc>
          <w:tcPr>
            <w:tcW w:type="dxa" w:w="2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Discovery</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T1082 System Info, T1083 File Discovery, T1018 Remote System Discovery</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Lateral Movement</w:t>
            </w:r>
          </w:p>
        </w:tc>
        <w:tc>
          <w:tcPr>
            <w:tcW w:type="dxa" w:w="4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T1021 Remote Services, T1550 Pass-the-Hash/Ticket, T1570 Lateral Transfer</w:t>
            </w:r>
          </w:p>
        </w:tc>
        <w:tc>
          <w:tcPr>
            <w:tcW w:type="dxa" w:w="2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Collection</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T1560 Archive Collected Data, T1074 Data Staged, T1039 Data from Network Share</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Exfiltration</w:t>
            </w:r>
          </w:p>
        </w:tc>
        <w:tc>
          <w:tcPr>
            <w:tcW w:type="dxa" w:w="4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T1041 Exfil over C2, T1048 Exfil over Alternative Protocol, T1567 Exfil to Cloud</w:t>
            </w:r>
          </w:p>
        </w:tc>
        <w:tc>
          <w:tcPr>
            <w:tcW w:type="dxa" w:w="2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Impact</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T1486 Data Encrypted for Impact, T1490 Inhibit Recovery, T1489 Service Stop</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For ransomware and destructive attacks</w:t>
            </w:r>
          </w:p>
        </w:tc>
      </w:tr>
    </w:tbl>
    <w:p>
      <w:pPr>
        <w:pStyle w:val="Heading2"/>
        <w:spacing w:before="280" w:after="100"/>
      </w:pPr>
      <w:r>
        <w:rPr>
          <w:rFonts w:ascii="Arial" w:cs="Arial" w:eastAsia="Arial" w:hAnsi="Arial"/>
          <w:b/>
          <w:bCs/>
          <w:color w:val="1565C0"/>
          <w:sz w:val="28"/>
          <w:szCs w:val="28"/>
        </w:rPr>
        <w:t xml:space="preserve">8.5 Regulatory Notification Tracking</w:t>
      </w:r>
    </w:p>
    <w:p>
      <w:pPr>
        <w:spacing w:before="60" w:after="60"/>
      </w:pPr>
      <w:r>
        <w:rPr>
          <w:rFonts w:ascii="Arial" w:cs="Arial" w:eastAsia="Arial" w:hAnsi="Arial"/>
          <w:sz w:val="22"/>
          <w:szCs w:val="22"/>
        </w:rPr>
        <w:t xml:space="preserve">All regulatory notifications made during and after the investigation must be tracked as part of the report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Obligation</w:t>
            </w:r>
          </w:p>
        </w:tc>
        <w:tc>
          <w:tcPr>
            <w:tcW w:type="dxa" w:w="676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Requirements &amp; Tracking</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ICO (UK GDPR Art.33)</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Article 33: notify within 72 hours of awareness. Article 34: notify data subjects where high risk. Track: date filed, reference number, ICO questions and responses.</w:t>
            </w:r>
          </w:p>
        </w:tc>
      </w:tr>
      <w:tr>
        <w:tc>
          <w:tcPr>
            <w:tcW w:type="dxa" w:w="2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NIS / NIS2</w:t>
            </w:r>
          </w:p>
        </w:tc>
        <w:tc>
          <w:tcPr>
            <w:tcW w:type="dxa" w:w="6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Notify sector Competent Authority for significant incidents affecting OES. Track: initial notification, supplementary reports, CA enquiries.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NCSC</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Report to NCSC for significant cyber incidents. Track: date reported, NCSC reference, any guidance received.</w:t>
            </w:r>
          </w:p>
        </w:tc>
      </w:tr>
      <w:tr>
        <w:tc>
          <w:tcPr>
            <w:tcW w:type="dxa" w:w="2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Sector Regulator</w:t>
            </w:r>
          </w:p>
        </w:tc>
        <w:tc>
          <w:tcPr>
            <w:tcW w:type="dxa" w:w="6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FCA, PRA, Ofgem, Ofwat, ONR, ORR — sector-specific obligations. Track per regulator.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DORA (Financial)</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For EU financial entities: initial notification within 4 hours, intermediate within 72 hours, final within 1 month.</w:t>
            </w:r>
          </w:p>
        </w:tc>
      </w:tr>
      <w:tr>
        <w:tc>
          <w:tcPr>
            <w:tcW w:type="dxa" w:w="2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Law Enforcement</w:t>
            </w:r>
          </w:p>
        </w:tc>
        <w:tc>
          <w:tcPr>
            <w:tcW w:type="dxa" w:w="6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Action Fraud, NCA Cybercrime, Police — record date, method, reference number, and any resulting guidance or direction.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Contractual Notifications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Customer, partner, and supplier notifications required under contract. Track: who notified, when, method, response.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6"/>
              <w:left w:val="single" w:color="1E6B3C" w:sz="6"/>
              <w:bottom w:val="single" w:color="1E6B3C" w:sz="6"/>
              <w:right w:val="single" w:color="1E6B3C" w:sz="6"/>
            </w:tcBorders>
            <w:shd w:fill="1E6B3C" w:val="clear"/>
            <w:tcMar>
              <w:top w:type="dxa" w:w="80"/>
              <w:left w:type="dxa" w:w="140"/>
              <w:bottom w:type="dxa" w:w="60"/>
              <w:right w:type="dxa" w:w="140"/>
            </w:tcMar>
          </w:tcPr>
          <w:p>
            <w:pPr>
              <w:spacing w:before="0" w:after="0"/>
            </w:pPr>
            <w:r>
              <w:rPr>
                <w:rFonts w:ascii="Arial" w:cs="Arial" w:eastAsia="Arial" w:hAnsi="Arial"/>
                <w:b/>
                <w:bCs/>
                <w:color w:val="FFFFFF"/>
                <w:sz w:val="20"/>
                <w:szCs w:val="20"/>
              </w:rPr>
              <w:t xml:space="preserve">AUDIT TRAIL — LOG THE FOLLOWING</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Each report version must be dated, versioned, and access-controlled — maintain a distribution log.</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Draft reports must be clearly marked DRAFT and version-controlled.</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Final reports must be signed off by the lead investigator and CISO.</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All regulatory communications must be stored under legal professional privilege where applicable.</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Evidence appendix must never be sent to parties not subject to appropriate confidentiality obligations.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2A4A" w:sz="8"/>
              <w:left w:val="single" w:color="1A2A4A" w:sz="8"/>
              <w:bottom w:val="single" w:color="1A2A4A" w:sz="8"/>
              <w:right w:val="single" w:color="1A2A4A" w:sz="8"/>
            </w:tcBorders>
            <w:shd w:fill="1A2A4A"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48"/>
                <w:szCs w:val="48"/>
              </w:rPr>
              <w:t xml:space="preserve">09</w:t>
            </w:r>
          </w:p>
        </w:tc>
        <w:tc>
          <w:tcPr>
            <w:tcW w:type="dxa" w:w="8160"/>
            <w:tcBorders>
              <w:top w:val="single" w:color="1A2A4A" w:sz="8"/>
              <w:left w:val="single" w:color="1A2A4A" w:sz="8"/>
              <w:bottom w:val="single" w:color="1A2A4A" w:sz="8"/>
              <w:right w:val="single" w:color="1A2A4A" w:sz="8"/>
            </w:tcBorders>
            <w:shd w:fill="2E75B6" w:val="clear"/>
            <w:tcMar>
              <w:top w:type="dxa" w:w="120"/>
              <w:left w:type="dxa" w:w="200"/>
              <w:bottom w:type="dxa" w:w="120"/>
              <w:right w:type="dxa" w:w="160"/>
            </w:tcMar>
          </w:tcPr>
          <w:p>
            <w:pPr>
              <w:spacing w:before="0" w:after="40"/>
            </w:pPr>
            <w:r>
              <w:rPr>
                <w:rFonts w:ascii="Arial" w:cs="Arial" w:eastAsia="Arial" w:hAnsi="Arial"/>
                <w:b/>
                <w:bCs/>
                <w:color w:val="FFFFFF"/>
                <w:sz w:val="32"/>
                <w:szCs w:val="32"/>
              </w:rPr>
              <w:t xml:space="preserve">Recommendations</w:t>
            </w:r>
          </w:p>
          <w:p>
            <w:pPr>
              <w:spacing w:before="0" w:after="0"/>
            </w:pPr>
            <w:r>
              <w:rPr>
                <w:rFonts w:ascii="Arial" w:cs="Arial" w:eastAsia="Arial" w:hAnsi="Arial"/>
                <w:i/>
                <w:iCs/>
                <w:color w:val="BDD7EE"/>
                <w:sz w:val="20"/>
                <w:szCs w:val="20"/>
              </w:rPr>
              <w:t xml:space="preserve">Immediate actions, short-term remediation, and strategic security improvements</w:t>
            </w:r>
          </w:p>
        </w:tc>
      </w:tr>
    </w:tbl>
    <w:p>
      <w:pPr>
        <w:pStyle w:val="Heading2"/>
        <w:spacing w:before="280" w:after="100"/>
      </w:pPr>
      <w:r>
        <w:rPr>
          <w:rFonts w:ascii="Arial" w:cs="Arial" w:eastAsia="Arial" w:hAnsi="Arial"/>
          <w:b/>
          <w:bCs/>
          <w:color w:val="1565C0"/>
          <w:sz w:val="28"/>
          <w:szCs w:val="28"/>
        </w:rPr>
        <w:t xml:space="preserve">9.1 Recommendation Framework</w:t>
      </w:r>
    </w:p>
    <w:p>
      <w:pPr>
        <w:spacing w:before="60" w:after="60"/>
      </w:pPr>
      <w:r>
        <w:rPr>
          <w:rFonts w:ascii="Arial" w:cs="Arial" w:eastAsia="Arial" w:hAnsi="Arial"/>
          <w:sz w:val="22"/>
          <w:szCs w:val="22"/>
        </w:rPr>
        <w:t xml:space="preserve">Recommendations must be prioritised, actionable, owned, and time-bound. A recommendation without an owner and a deadline is not a recommendation — it is a wish. All recommendations must be tracked through to completion and reported to the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Horizon</w:t>
            </w:r>
          </w:p>
        </w:tc>
        <w:tc>
          <w:tcPr>
            <w:tcW w:type="dxa" w:w="676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Scope &amp; Expectation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Immediate (0–72 hrs)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Actions required to prevent ongoing harm, close confirmed attack vectors, and address immediate regulatory obligations. Non-negotiable — must be completed before returning systems to production.</w:t>
            </w:r>
          </w:p>
        </w:tc>
      </w:tr>
      <w:tr>
        <w:tc>
          <w:tcPr>
            <w:tcW w:type="dxa" w:w="2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Short-Term (2–8 wks)</w:t>
            </w:r>
          </w:p>
        </w:tc>
        <w:tc>
          <w:tcPr>
            <w:tcW w:type="dxa" w:w="6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Remediation of root cause, implementation of compensating controls, patching of exploited vulnerabilities, and enhanced monitoring. Should be completed before the incident is formally closed.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Strategic (3–12 mths)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Architectural improvements, capability investments, and programme-level changes that address the underlying conditions that enabled the incident. Board-level visibility and resource allocation required.</w:t>
            </w:r>
          </w:p>
        </w:tc>
      </w:tr>
    </w:tbl>
    <w:p>
      <w:pPr>
        <w:pStyle w:val="Heading2"/>
        <w:spacing w:before="280" w:after="100"/>
      </w:pPr>
      <w:r>
        <w:rPr>
          <w:rFonts w:ascii="Arial" w:cs="Arial" w:eastAsia="Arial" w:hAnsi="Arial"/>
          <w:b/>
          <w:bCs/>
          <w:color w:val="1565C0"/>
          <w:sz w:val="28"/>
          <w:szCs w:val="28"/>
        </w:rPr>
        <w:t xml:space="preserve">9.2 Recommendation Register —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760"/>
        <w:gridCol w:w="2600"/>
      </w:tblGrid>
      <w:tr>
        <w:trPr>
          <w:tblHeader/>
        </w:trPr>
        <w:tc>
          <w:tcPr>
            <w:tcW w:type="dxa" w:w="10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Ref</w:t>
            </w:r>
          </w:p>
        </w:tc>
        <w:tc>
          <w:tcPr>
            <w:tcW w:type="dxa" w:w="576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Recommendation</w:t>
            </w:r>
          </w:p>
        </w:tc>
        <w:tc>
          <w:tcPr>
            <w:tcW w:type="dxa" w:w="26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Horizon | Owner | Target Date</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REC-001</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Reset all privileged account credentials enterprise-wide. Enforce MFA on all admin and remote access accounts.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Immediate | IT Ops + Identity | 24 hours</w:t>
            </w:r>
          </w:p>
        </w:tc>
      </w:tr>
      <w:tr>
        <w:tc>
          <w:tcPr>
            <w:tcW w:type="dxa" w:w="1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REC-002</w:t>
            </w:r>
          </w:p>
        </w:tc>
        <w:tc>
          <w:tcPr>
            <w:tcW w:type="dxa" w:w="5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Patch or isolate all systems with the exploited vulnerability. Apply vendor-issued patch within 24 hours where possible; implement compensating network controls where patching is not immediately possible.</w:t>
            </w:r>
          </w:p>
        </w:tc>
        <w:tc>
          <w:tcPr>
            <w:tcW w:type="dxa" w:w="2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Immediate | IT Ops | 48 hours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REC-003</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Enable and forward all missing log sources identified during investigation (e.g. PowerShell script block logging, WMI activity, DNS logging) to SIEM.</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Short-Term | SOC | 2 weeks</w:t>
            </w:r>
          </w:p>
        </w:tc>
      </w:tr>
      <w:tr>
        <w:tc>
          <w:tcPr>
            <w:tcW w:type="dxa" w:w="1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REC-004</w:t>
            </w:r>
          </w:p>
        </w:tc>
        <w:tc>
          <w:tcPr>
            <w:tcW w:type="dxa" w:w="5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Implement privileged access workstations (PAWs) for all Tier 0 and Tier 1 administrative tasks. Remove direct internet access from privileged admin accounts.</w:t>
            </w:r>
          </w:p>
        </w:tc>
        <w:tc>
          <w:tcPr>
            <w:tcW w:type="dxa" w:w="2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Short-Term | CISO + IT | 6 weeks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REC-005</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Deploy EDR to all endpoints not currently covered. Achieve 100% coverage including servers, OT-adjacent systems, and cloud-hosted VMs.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Short-Term | SOC | 8 weeks</w:t>
            </w:r>
          </w:p>
        </w:tc>
      </w:tr>
      <w:tr>
        <w:tc>
          <w:tcPr>
            <w:tcW w:type="dxa" w:w="1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REC-006</w:t>
            </w:r>
          </w:p>
        </w:tc>
        <w:tc>
          <w:tcPr>
            <w:tcW w:type="dxa" w:w="5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Implement network segmentation improvements identified during lateral movement analysis. Enforce east-west traffic controls between identified high-risk segments.</w:t>
            </w:r>
          </w:p>
        </w:tc>
        <w:tc>
          <w:tcPr>
            <w:tcW w:type="dxa" w:w="2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Short-Term | Network | 8 weeks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REC-007</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Develop and test an immutable backup strategy. Ensure at least one backup copy is offline or object-locked and tested for restoration within the defined RTO.</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Short-Term | IT Ops | 6 weeks</w:t>
            </w:r>
          </w:p>
        </w:tc>
      </w:tr>
      <w:tr>
        <w:tc>
          <w:tcPr>
            <w:tcW w:type="dxa" w:w="1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REC-008</w:t>
            </w:r>
          </w:p>
        </w:tc>
        <w:tc>
          <w:tcPr>
            <w:tcW w:type="dxa" w:w="5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Implement Zero Trust architecture roadmap. Begin with identity (MFA everywhere, conditional access) and network (microsegmentation of critical assets).</w:t>
            </w:r>
          </w:p>
        </w:tc>
        <w:tc>
          <w:tcPr>
            <w:tcW w:type="dxa" w:w="2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Strategic | CISO | 12 months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19"/>
                <w:szCs w:val="19"/>
              </w:rPr>
              <w:t xml:space="preserve">REC-009</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Mature the threat detection capability: deploy UEBA, implement ATT&amp;CK-aligned detection rules, establish a formal threat hunting programme with monthly cadence.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Strategic | SOC | 9 months</w:t>
            </w:r>
          </w:p>
        </w:tc>
      </w:tr>
      <w:tr>
        <w:tc>
          <w:tcPr>
            <w:tcW w:type="dxa" w:w="1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19"/>
                <w:szCs w:val="19"/>
              </w:rPr>
              <w:t xml:space="preserve">REC-010</w:t>
            </w:r>
          </w:p>
        </w:tc>
        <w:tc>
          <w:tcPr>
            <w:tcW w:type="dxa" w:w="5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Establish a formal third-party security risk programme: tiered supplier assessments, contractual security requirements, SBOM requirements for critical software vendors.</w:t>
            </w:r>
          </w:p>
        </w:tc>
        <w:tc>
          <w:tcPr>
            <w:tcW w:type="dxa" w:w="2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19"/>
                <w:szCs w:val="19"/>
              </w:rPr>
              <w:t xml:space="preserve">Strategic | CISO + Procurement | 12 months</w:t>
            </w:r>
          </w:p>
        </w:tc>
      </w:tr>
    </w:tbl>
    <w:p>
      <w:pPr>
        <w:pStyle w:val="Heading2"/>
        <w:spacing w:before="280" w:after="100"/>
      </w:pPr>
      <w:r>
        <w:rPr>
          <w:rFonts w:ascii="Arial" w:cs="Arial" w:eastAsia="Arial" w:hAnsi="Arial"/>
          <w:b/>
          <w:bCs/>
          <w:color w:val="1565C0"/>
          <w:sz w:val="28"/>
          <w:szCs w:val="28"/>
        </w:rPr>
        <w:t xml:space="preserve">9.3 Recommendation Tracking</w:t>
      </w:r>
    </w:p>
    <w:p>
      <w:pPr>
        <w:spacing w:before="60" w:after="60"/>
      </w:pPr>
      <w:r>
        <w:rPr>
          <w:rFonts w:ascii="Arial" w:cs="Arial" w:eastAsia="Arial" w:hAnsi="Arial"/>
          <w:sz w:val="22"/>
          <w:szCs w:val="22"/>
        </w:rPr>
        <w:t xml:space="preserve">Each recommendation must be formally tracked through to completion. Recommendations should be reviewed at 30, 60, and 90-day intervals and reported to the board at the post-incident review and at each quarterly security update.</w:t>
      </w:r>
    </w:p>
    <w:p>
      <w:pPr>
        <w:pStyle w:val="ListParagraph"/>
        <w:numPr>
          <w:ilvl w:val="0"/>
          <w:numId w:val="2"/>
        </w:numPr>
        <w:spacing w:before="40" w:after="40"/>
      </w:pPr>
      <w:r>
        <w:rPr>
          <w:rFonts w:ascii="Arial" w:cs="Arial" w:eastAsia="Arial" w:hAnsi="Arial"/>
          <w:b/>
          <w:bCs/>
          <w:sz w:val="22"/>
          <w:szCs w:val="22"/>
        </w:rPr>
        <w:t xml:space="preserve">Assign a named owner for each recommendation — not a team name, a specific individual</w:t>
      </w:r>
    </w:p>
    <w:p>
      <w:pPr>
        <w:pStyle w:val="ListParagraph"/>
        <w:numPr>
          <w:ilvl w:val="0"/>
          <w:numId w:val="2"/>
        </w:numPr>
        <w:spacing w:before="40" w:after="40"/>
      </w:pPr>
      <w:r>
        <w:rPr>
          <w:rFonts w:ascii="Arial" w:cs="Arial" w:eastAsia="Arial" w:hAnsi="Arial"/>
          <w:b w:val="false"/>
          <w:bCs w:val="false"/>
          <w:sz w:val="22"/>
          <w:szCs w:val="22"/>
        </w:rPr>
        <w:t xml:space="preserve">Set a specific target completion date — not "Q3" but a specific date</w:t>
      </w:r>
    </w:p>
    <w:p>
      <w:pPr>
        <w:pStyle w:val="ListParagraph"/>
        <w:numPr>
          <w:ilvl w:val="0"/>
          <w:numId w:val="2"/>
        </w:numPr>
        <w:spacing w:before="40" w:after="40"/>
      </w:pPr>
      <w:r>
        <w:rPr>
          <w:rFonts w:ascii="Arial" w:cs="Arial" w:eastAsia="Arial" w:hAnsi="Arial"/>
          <w:b w:val="false"/>
          <w:bCs w:val="false"/>
          <w:sz w:val="22"/>
          <w:szCs w:val="22"/>
        </w:rPr>
        <w:t xml:space="preserve">Define the acceptance criteria: how will completion be verified?</w:t>
      </w:r>
    </w:p>
    <w:p>
      <w:pPr>
        <w:pStyle w:val="ListParagraph"/>
        <w:numPr>
          <w:ilvl w:val="0"/>
          <w:numId w:val="2"/>
        </w:numPr>
        <w:spacing w:before="40" w:after="40"/>
      </w:pPr>
      <w:r>
        <w:rPr>
          <w:rFonts w:ascii="Arial" w:cs="Arial" w:eastAsia="Arial" w:hAnsi="Arial"/>
          <w:b w:val="false"/>
          <w:bCs w:val="false"/>
          <w:sz w:val="22"/>
          <w:szCs w:val="22"/>
        </w:rPr>
        <w:t xml:space="preserve">Track status: Not Started / In Progress / Complete / Risk Accepted</w:t>
      </w:r>
    </w:p>
    <w:p>
      <w:pPr>
        <w:pStyle w:val="ListParagraph"/>
        <w:numPr>
          <w:ilvl w:val="0"/>
          <w:numId w:val="2"/>
        </w:numPr>
        <w:spacing w:before="40" w:after="40"/>
      </w:pPr>
      <w:r>
        <w:rPr>
          <w:rFonts w:ascii="Arial" w:cs="Arial" w:eastAsia="Arial" w:hAnsi="Arial"/>
          <w:b w:val="false"/>
          <w:bCs w:val="false"/>
          <w:sz w:val="22"/>
          <w:szCs w:val="22"/>
        </w:rPr>
        <w:t xml:space="preserve">Escalate any recommendations that are blocked, deprioritised, or where the risk is being accepted without board-level sign-off</w:t>
      </w:r>
    </w:p>
    <w:p>
      <w:pPr>
        <w:pStyle w:val="ListParagraph"/>
        <w:numPr>
          <w:ilvl w:val="0"/>
          <w:numId w:val="2"/>
        </w:numPr>
        <w:spacing w:before="40" w:after="40"/>
      </w:pPr>
      <w:r>
        <w:rPr>
          <w:rFonts w:ascii="Arial" w:cs="Arial" w:eastAsia="Arial" w:hAnsi="Arial"/>
          <w:b w:val="false"/>
          <w:bCs w:val="false"/>
          <w:sz w:val="22"/>
          <w:szCs w:val="22"/>
        </w:rPr>
        <w:t xml:space="preserve">Close the recommendation only when independently verified — not when the owner self-reports completion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2A4A" w:sz="8"/>
              <w:left w:val="single" w:color="1A2A4A" w:sz="8"/>
              <w:bottom w:val="single" w:color="1A2A4A" w:sz="8"/>
              <w:right w:val="single" w:color="1A2A4A" w:sz="8"/>
            </w:tcBorders>
            <w:shd w:fill="1A2A4A"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48"/>
                <w:szCs w:val="48"/>
              </w:rPr>
              <w:t xml:space="preserve">10</w:t>
            </w:r>
          </w:p>
        </w:tc>
        <w:tc>
          <w:tcPr>
            <w:tcW w:type="dxa" w:w="8160"/>
            <w:tcBorders>
              <w:top w:val="single" w:color="1A2A4A" w:sz="8"/>
              <w:left w:val="single" w:color="1A2A4A" w:sz="8"/>
              <w:bottom w:val="single" w:color="1A2A4A" w:sz="8"/>
              <w:right w:val="single" w:color="1A2A4A" w:sz="8"/>
            </w:tcBorders>
            <w:shd w:fill="2E75B6" w:val="clear"/>
            <w:tcMar>
              <w:top w:type="dxa" w:w="120"/>
              <w:left w:type="dxa" w:w="200"/>
              <w:bottom w:type="dxa" w:w="120"/>
              <w:right w:type="dxa" w:w="160"/>
            </w:tcMar>
          </w:tcPr>
          <w:p>
            <w:pPr>
              <w:spacing w:before="0" w:after="40"/>
            </w:pPr>
            <w:r>
              <w:rPr>
                <w:rFonts w:ascii="Arial" w:cs="Arial" w:eastAsia="Arial" w:hAnsi="Arial"/>
                <w:b/>
                <w:bCs/>
                <w:color w:val="FFFFFF"/>
                <w:sz w:val="32"/>
                <w:szCs w:val="32"/>
              </w:rPr>
              <w:t xml:space="preserve">Lessons Learned &amp; Post-Incident Review</w:t>
            </w:r>
          </w:p>
          <w:p>
            <w:pPr>
              <w:spacing w:before="0" w:after="0"/>
            </w:pPr>
            <w:r>
              <w:rPr>
                <w:rFonts w:ascii="Arial" w:cs="Arial" w:eastAsia="Arial" w:hAnsi="Arial"/>
                <w:i/>
                <w:iCs/>
                <w:color w:val="BDD7EE"/>
                <w:sz w:val="20"/>
                <w:szCs w:val="20"/>
              </w:rPr>
              <w:t xml:space="preserve">PIR structure, metrics, programme improvement, and incident closure</w:t>
            </w:r>
          </w:p>
        </w:tc>
      </w:tr>
    </w:tbl>
    <w:p>
      <w:pPr>
        <w:pStyle w:val="Heading2"/>
        <w:spacing w:before="280" w:after="100"/>
      </w:pPr>
      <w:r>
        <w:rPr>
          <w:rFonts w:ascii="Arial" w:cs="Arial" w:eastAsia="Arial" w:hAnsi="Arial"/>
          <w:b/>
          <w:bCs/>
          <w:color w:val="1565C0"/>
          <w:sz w:val="28"/>
          <w:szCs w:val="28"/>
        </w:rPr>
        <w:t xml:space="preserve">10.1 Post-Incident Review</w:t>
      </w:r>
    </w:p>
    <w:p>
      <w:pPr>
        <w:spacing w:before="60" w:after="60"/>
      </w:pPr>
      <w:r>
        <w:rPr>
          <w:rFonts w:ascii="Arial" w:cs="Arial" w:eastAsia="Arial" w:hAnsi="Arial"/>
          <w:sz w:val="22"/>
          <w:szCs w:val="22"/>
        </w:rPr>
        <w:t xml:space="preserve">The Post-Incident Review (PIR) is a formal, structured review of the incident and the organisation's response to it. It is not a blame exercise — it is an opportunity to identify systemic failures, process gaps, and improvement opportunities. It should be conducted within 2 weeks of recovery, while events are 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Principle</w:t>
            </w:r>
          </w:p>
        </w:tc>
        <w:tc>
          <w:tcPr>
            <w:tcW w:type="dxa" w:w="716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Guidance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Timing</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Within 2 weeks of recovery. Do not delay — recollection degrades rapidly and teams move on.</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Facilitator</w:t>
            </w:r>
          </w:p>
        </w:tc>
        <w:tc>
          <w:tcPr>
            <w:tcW w:type="dxa" w:w="7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A neutral facilitator, ideally not the IR lead (who is also a subject). External facilitator for major incidents.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Attendees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IR team, SOC, IT Ops, Business Leads, Legal, DPO, Communications, CISO. Board representative for P1 incidents.</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Documentation</w:t>
            </w:r>
          </w:p>
        </w:tc>
        <w:tc>
          <w:tcPr>
            <w:tcW w:type="dxa" w:w="7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Formal PIR report produced within 1 week of the session. All action items tracked with named owners and dates.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Blameless Culture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The PIR must focus on processes and systems, not individuals. Individual conduct issues are an HR matter handled separately.</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External Forensics</w:t>
            </w:r>
          </w:p>
        </w:tc>
        <w:tc>
          <w:tcPr>
            <w:tcW w:type="dxa" w:w="7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External IR provider should attend if engaged. Their independent observations are valuable and distinct from the internal team's perspective.</w:t>
            </w:r>
          </w:p>
        </w:tc>
      </w:tr>
    </w:tbl>
    <w:p>
      <w:pPr>
        <w:pStyle w:val="Heading2"/>
        <w:spacing w:before="280" w:after="100"/>
      </w:pPr>
      <w:r>
        <w:rPr>
          <w:rFonts w:ascii="Arial" w:cs="Arial" w:eastAsia="Arial" w:hAnsi="Arial"/>
          <w:b/>
          <w:bCs/>
          <w:color w:val="1565C0"/>
          <w:sz w:val="28"/>
          <w:szCs w:val="28"/>
        </w:rPr>
        <w:t xml:space="preserve">10.2 PIR Agenda — Standard Structure</w:t>
      </w:r>
    </w:p>
    <w:p>
      <w:pPr>
        <w:pStyle w:val="ListParagraph"/>
        <w:numPr>
          <w:ilvl w:val="0"/>
          <w:numId w:val="3"/>
        </w:numPr>
        <w:spacing w:before="60" w:after="60"/>
      </w:pPr>
      <w:r>
        <w:rPr>
          <w:rFonts w:ascii="Arial" w:cs="Arial" w:eastAsia="Arial" w:hAnsi="Arial"/>
          <w:b/>
          <w:bCs/>
          <w:sz w:val="22"/>
          <w:szCs w:val="22"/>
        </w:rPr>
        <w:t xml:space="preserve">Timeline walkthrough — factual reconstruction from first indicator to recovery. No editorial; just events.</w:t>
      </w:r>
    </w:p>
    <w:p>
      <w:pPr>
        <w:pStyle w:val="ListParagraph"/>
        <w:numPr>
          <w:ilvl w:val="0"/>
          <w:numId w:val="3"/>
        </w:numPr>
        <w:spacing w:before="60" w:after="60"/>
      </w:pPr>
      <w:r>
        <w:rPr>
          <w:rFonts w:ascii="Arial" w:cs="Arial" w:eastAsia="Arial" w:hAnsi="Arial"/>
          <w:b w:val="false"/>
          <w:bCs w:val="false"/>
          <w:sz w:val="22"/>
          <w:szCs w:val="22"/>
        </w:rPr>
        <w:t xml:space="preserve">Detection review — how was the incident first detected? Were earlier indicators available but missed? Why?</w:t>
      </w:r>
    </w:p>
    <w:p>
      <w:pPr>
        <w:pStyle w:val="ListParagraph"/>
        <w:numPr>
          <w:ilvl w:val="0"/>
          <w:numId w:val="3"/>
        </w:numPr>
        <w:spacing w:before="60" w:after="60"/>
      </w:pPr>
      <w:r>
        <w:rPr>
          <w:rFonts w:ascii="Arial" w:cs="Arial" w:eastAsia="Arial" w:hAnsi="Arial"/>
          <w:b w:val="false"/>
          <w:bCs w:val="false"/>
          <w:sz w:val="22"/>
          <w:szCs w:val="22"/>
        </w:rPr>
        <w:t xml:space="preserve">Response review — how effective was the response process? What worked well? What slowed us down?</w:t>
      </w:r>
    </w:p>
    <w:p>
      <w:pPr>
        <w:pStyle w:val="ListParagraph"/>
        <w:numPr>
          <w:ilvl w:val="0"/>
          <w:numId w:val="3"/>
        </w:numPr>
        <w:spacing w:before="60" w:after="60"/>
      </w:pPr>
      <w:r>
        <w:rPr>
          <w:rFonts w:ascii="Arial" w:cs="Arial" w:eastAsia="Arial" w:hAnsi="Arial"/>
          <w:b w:val="false"/>
          <w:bCs w:val="false"/>
          <w:sz w:val="22"/>
          <w:szCs w:val="22"/>
        </w:rPr>
        <w:t xml:space="preserve">Communication review — were the right people informed at the right time? What broke down?</w:t>
      </w:r>
    </w:p>
    <w:p>
      <w:pPr>
        <w:pStyle w:val="ListParagraph"/>
        <w:numPr>
          <w:ilvl w:val="0"/>
          <w:numId w:val="3"/>
        </w:numPr>
        <w:spacing w:before="60" w:after="60"/>
      </w:pPr>
      <w:r>
        <w:rPr>
          <w:rFonts w:ascii="Arial" w:cs="Arial" w:eastAsia="Arial" w:hAnsi="Arial"/>
          <w:b w:val="false"/>
          <w:bCs w:val="false"/>
          <w:sz w:val="22"/>
          <w:szCs w:val="22"/>
        </w:rPr>
        <w:t xml:space="preserve">Regulatory handling review — were notification obligations met? What could have been better?</w:t>
      </w:r>
    </w:p>
    <w:p>
      <w:pPr>
        <w:pStyle w:val="ListParagraph"/>
        <w:numPr>
          <w:ilvl w:val="0"/>
          <w:numId w:val="3"/>
        </w:numPr>
        <w:spacing w:before="60" w:after="60"/>
      </w:pPr>
      <w:r>
        <w:rPr>
          <w:rFonts w:ascii="Arial" w:cs="Arial" w:eastAsia="Arial" w:hAnsi="Arial"/>
          <w:b w:val="false"/>
          <w:bCs w:val="false"/>
          <w:sz w:val="22"/>
          <w:szCs w:val="22"/>
        </w:rPr>
        <w:t xml:space="preserve">Containment &amp; eradication review — was the scope correctly identified? Were there missed persistence mechanisms?</w:t>
      </w:r>
    </w:p>
    <w:p>
      <w:pPr>
        <w:pStyle w:val="ListParagraph"/>
        <w:numPr>
          <w:ilvl w:val="0"/>
          <w:numId w:val="3"/>
        </w:numPr>
        <w:spacing w:before="60" w:after="60"/>
      </w:pPr>
      <w:r>
        <w:rPr>
          <w:rFonts w:ascii="Arial" w:cs="Arial" w:eastAsia="Arial" w:hAnsi="Arial"/>
          <w:b w:val="false"/>
          <w:bCs w:val="false"/>
          <w:sz w:val="22"/>
          <w:szCs w:val="22"/>
        </w:rPr>
        <w:t xml:space="preserve">Recovery review — did we meet our RTO/RPO? What caused delays?</w:t>
      </w:r>
    </w:p>
    <w:p>
      <w:pPr>
        <w:pStyle w:val="ListParagraph"/>
        <w:numPr>
          <w:ilvl w:val="0"/>
          <w:numId w:val="3"/>
        </w:numPr>
        <w:spacing w:before="60" w:after="60"/>
      </w:pPr>
      <w:r>
        <w:rPr>
          <w:rFonts w:ascii="Arial" w:cs="Arial" w:eastAsia="Arial" w:hAnsi="Arial"/>
          <w:b w:val="false"/>
          <w:bCs w:val="false"/>
          <w:sz w:val="22"/>
          <w:szCs w:val="22"/>
        </w:rPr>
        <w:t xml:space="preserve">Recommendations review — are the recommendations the right ones? Are they prioritised correctly? Who owns them?</w:t>
      </w:r>
    </w:p>
    <w:p>
      <w:pPr>
        <w:pStyle w:val="Heading2"/>
        <w:spacing w:before="280" w:after="100"/>
      </w:pPr>
      <w:r>
        <w:rPr>
          <w:rFonts w:ascii="Arial" w:cs="Arial" w:eastAsia="Arial" w:hAnsi="Arial"/>
          <w:b/>
          <w:bCs/>
          <w:color w:val="1565C0"/>
          <w:sz w:val="28"/>
          <w:szCs w:val="28"/>
        </w:rPr>
        <w:t xml:space="preserve">10.3 Key Metrics to Capture &amp; Report</w:t>
      </w:r>
    </w:p>
    <w:p>
      <w:pPr>
        <w:spacing w:before="60" w:after="60"/>
      </w:pPr>
      <w:r>
        <w:rPr>
          <w:rFonts w:ascii="Arial" w:cs="Arial" w:eastAsia="Arial" w:hAnsi="Arial"/>
          <w:sz w:val="22"/>
          <w:szCs w:val="22"/>
        </w:rPr>
        <w:t xml:space="preserve">Quantifying incident response performance enables benchmarking, improvement tracking, and board-level reporting. These metrics should be captured for every P1 and P2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Metric</w:t>
            </w:r>
          </w:p>
        </w:tc>
        <w:tc>
          <w:tcPr>
            <w:tcW w:type="dxa" w:w="636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Definition &amp; Purpose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Mean Time to Detect (MTTD)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From estimated T0 (first attacker activity) to first internal alert or detection. Measures detection capability gap.</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Mean Time to Declare (MTTDec)</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From first alert to formal P1/P2 incident declaration. Measures decision speed under uncertainty.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Mean Time to Contain (MTTC)</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From declaration to confirmed network containment. Measures speed and effectiveness of containment capability.</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Mean Time to Eradicate (MTTE)</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From containment to confirmed attacker eviction. Measures eradication thoroughness.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Mean Time to Recover (MTTR)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From eradication to production systems restored. Measures recovery capability vs. defined RTO.</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Dwell Time</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Period between T0 and detection. Industry benchmark (2024): median 10 days. Target: under 24 hours.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Blast Radius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Number of systems and accounts confirmed compromised. Measures segmentation and lateral movement control effectiveness.</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Data at Risk Volume</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Volume and classification of data accessible during dwell period. Drives regulatory and business impact assessment.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Log Coverage Gap</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Percentage of affected systems with sufficient log coverage for investigation. Measures logging maturity.</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Recommendation Completion Rate</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Percentage of PIR recommendations completed within target timeframe at 90-day review. Measures organisational follow-through.</w:t>
            </w:r>
          </w:p>
        </w:tc>
      </w:tr>
    </w:tbl>
    <w:p>
      <w:pPr>
        <w:pStyle w:val="Heading2"/>
        <w:spacing w:before="280" w:after="100"/>
      </w:pPr>
      <w:r>
        <w:rPr>
          <w:rFonts w:ascii="Arial" w:cs="Arial" w:eastAsia="Arial" w:hAnsi="Arial"/>
          <w:b/>
          <w:bCs/>
          <w:color w:val="1565C0"/>
          <w:sz w:val="28"/>
          <w:szCs w:val="28"/>
        </w:rPr>
        <w:t xml:space="preserve">10.4 Lessons Learned Categories</w:t>
      </w:r>
    </w:p>
    <w:p>
      <w:pPr>
        <w:spacing w:before="60" w:after="60"/>
      </w:pPr>
      <w:r>
        <w:rPr>
          <w:rFonts w:ascii="Arial" w:cs="Arial" w:eastAsia="Arial" w:hAnsi="Arial"/>
          <w:sz w:val="22"/>
          <w:szCs w:val="22"/>
        </w:rPr>
        <w:t xml:space="preserve">Structure lessons learned under four categories to ensure systematic coverage and to map improvements to the NIST Cybersecurity Framework or equivalent.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Category</w:t>
            </w:r>
          </w:p>
        </w:tc>
        <w:tc>
          <w:tcPr>
            <w:tcW w:type="dxa" w:w="736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Questions to Address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Identify</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Were our assets, data flows, and risk profile sufficiently understood? Did we know what we were protecting and where it was? Were third-party risks understood?</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Protect</w:t>
            </w:r>
          </w:p>
        </w:tc>
        <w:tc>
          <w:tcPr>
            <w:tcW w:type="dxa" w:w="7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Were the right preventive controls in place? Were they configured correctly? Were there known gaps that were not addressed? Was privileged access properly controlled?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Detect</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Did we detect the incident as quickly as possible? Were the right log sources available? Were our detection rules effective? Did SIEM/EDR/UEBA perform as expected?</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Respond</w:t>
            </w:r>
          </w:p>
        </w:tc>
        <w:tc>
          <w:tcPr>
            <w:tcW w:type="dxa" w:w="7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Was the response process effective? Were roles clear? Were decisions made at the right level? Was communication effective? Were external resources engaged at the right time?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Recover</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Were RTOs met? Were backup and recovery procedures effective? Was the recovery environment clean? Did we validate eradication before recovering?</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Governance</w:t>
            </w:r>
          </w:p>
        </w:tc>
        <w:tc>
          <w:tcPr>
            <w:tcW w:type="dxa" w:w="7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Were legal and regulatory obligations met? Was the investigation properly documented? Was evidence preserved and handled correctly? Was the board appropriately informed?</w:t>
            </w:r>
          </w:p>
        </w:tc>
      </w:tr>
    </w:tbl>
    <w:p>
      <w:pPr>
        <w:pStyle w:val="Heading2"/>
        <w:spacing w:before="280" w:after="100"/>
      </w:pPr>
      <w:r>
        <w:rPr>
          <w:rFonts w:ascii="Arial" w:cs="Arial" w:eastAsia="Arial" w:hAnsi="Arial"/>
          <w:b/>
          <w:bCs/>
          <w:color w:val="1565C0"/>
          <w:sz w:val="28"/>
          <w:szCs w:val="28"/>
        </w:rPr>
        <w:t xml:space="preserve">10.5 Incident Closure</w:t>
      </w:r>
    </w:p>
    <w:p>
      <w:pPr>
        <w:spacing w:before="60" w:after="60"/>
      </w:pPr>
      <w:r>
        <w:rPr>
          <w:rFonts w:ascii="Arial" w:cs="Arial" w:eastAsia="Arial" w:hAnsi="Arial"/>
          <w:sz w:val="22"/>
          <w:szCs w:val="22"/>
        </w:rPr>
        <w:t xml:space="preserve">An incident should not be formally closed until all closure criteria are met and sign-off is obtained. Premature closure creates residual risk and may affect regulatory 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6"/>
              <w:left w:val="single" w:color="1E6B3C" w:sz="6"/>
              <w:bottom w:val="single" w:color="1E6B3C" w:sz="6"/>
              <w:right w:val="single" w:color="1E6B3C" w:sz="6"/>
            </w:tcBorders>
            <w:shd w:fill="1E6B3C" w:val="clear"/>
            <w:tcMar>
              <w:top w:type="dxa" w:w="80"/>
              <w:left w:type="dxa" w:w="140"/>
              <w:bottom w:type="dxa" w:w="60"/>
              <w:right w:type="dxa" w:w="140"/>
            </w:tcMar>
          </w:tcPr>
          <w:p>
            <w:pPr>
              <w:spacing w:before="0" w:after="0"/>
            </w:pPr>
            <w:r>
              <w:rPr>
                <w:rFonts w:ascii="Arial" w:cs="Arial" w:eastAsia="Arial" w:hAnsi="Arial"/>
                <w:b/>
                <w:bCs/>
                <w:color w:val="FFFFFF"/>
                <w:sz w:val="20"/>
                <w:szCs w:val="20"/>
              </w:rPr>
              <w:t xml:space="preserve">INCIDENT CLOSURE CHECKLIST</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 ] Eradication confirmed — all attacker persistence mechanisms removed and validated.</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 ] Recovery complete — all affected systems restored and operating normally under enhanced monitoring.</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 ] Monitoring uplift in place — enhanced detection rules and monitoring active for minimum 30 days post-recovery.</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 ] All regulatory notifications filed and initial responses received.</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 ] All evidence secured in evidence storage with completed chain of custody documentation.</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 ] Investigation log finalised, countersigned, and archived.</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 ] PIR conducted and PIR report issued.</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 ] Recommendation register populated with named owners and target dates.</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 ] Formal incident closure signed off by CISO and CLO.</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 ] Legal hold lifted (by legal counsel, in writing) once proceedings are concluded.</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 ] Post-incident monitoring period complete (minimum 30 days) with no re-compromise indicators.</w:t>
            </w:r>
          </w:p>
        </w:tc>
      </w:tr>
    </w:tbl>
    <w:p>
      <w:pPr>
        <w:pStyle w:val="Heading2"/>
        <w:spacing w:before="280" w:after="100"/>
      </w:pPr>
      <w:r>
        <w:rPr>
          <w:rFonts w:ascii="Arial" w:cs="Arial" w:eastAsia="Arial" w:hAnsi="Arial"/>
          <w:b/>
          <w:bCs/>
          <w:color w:val="1565C0"/>
          <w:sz w:val="28"/>
          <w:szCs w:val="28"/>
        </w:rPr>
        <w:t xml:space="preserve">10.6 Programme Improvement</w:t>
      </w:r>
    </w:p>
    <w:p>
      <w:pPr>
        <w:spacing w:before="60" w:after="60"/>
      </w:pPr>
      <w:r>
        <w:rPr>
          <w:rFonts w:ascii="Arial" w:cs="Arial" w:eastAsia="Arial" w:hAnsi="Arial"/>
          <w:sz w:val="22"/>
          <w:szCs w:val="22"/>
        </w:rPr>
        <w:t xml:space="preserve">The lessons learned from each incident should feed directly into the organisation's security programme. Each PIR should produce a programme improvement item — not just a technical fix.</w:t>
      </w:r>
    </w:p>
    <w:p>
      <w:pPr>
        <w:pStyle w:val="ListParagraph"/>
        <w:numPr>
          <w:ilvl w:val="0"/>
          <w:numId w:val="2"/>
        </w:numPr>
        <w:spacing w:before="40" w:after="40"/>
      </w:pPr>
      <w:r>
        <w:rPr>
          <w:rFonts w:ascii="Arial" w:cs="Arial" w:eastAsia="Arial" w:hAnsi="Arial"/>
          <w:b/>
          <w:bCs/>
          <w:sz w:val="22"/>
          <w:szCs w:val="22"/>
        </w:rPr>
        <w:t xml:space="preserve">Update incident response playbooks to reflect lessons from this incident within 4 weeks of PIR</w:t>
      </w:r>
    </w:p>
    <w:p>
      <w:pPr>
        <w:pStyle w:val="ListParagraph"/>
        <w:numPr>
          <w:ilvl w:val="0"/>
          <w:numId w:val="2"/>
        </w:numPr>
        <w:spacing w:before="40" w:after="40"/>
      </w:pPr>
      <w:r>
        <w:rPr>
          <w:rFonts w:ascii="Arial" w:cs="Arial" w:eastAsia="Arial" w:hAnsi="Arial"/>
          <w:b w:val="false"/>
          <w:bCs w:val="false"/>
          <w:sz w:val="22"/>
          <w:szCs w:val="22"/>
        </w:rPr>
        <w:t xml:space="preserve">Update detection rules and SIEM content based on TTPs observed — every new technique is a new detection opportunity</w:t>
      </w:r>
    </w:p>
    <w:p>
      <w:pPr>
        <w:pStyle w:val="ListParagraph"/>
        <w:numPr>
          <w:ilvl w:val="0"/>
          <w:numId w:val="2"/>
        </w:numPr>
        <w:spacing w:before="40" w:after="40"/>
      </w:pPr>
      <w:r>
        <w:rPr>
          <w:rFonts w:ascii="Arial" w:cs="Arial" w:eastAsia="Arial" w:hAnsi="Arial"/>
          <w:b w:val="false"/>
          <w:bCs w:val="false"/>
          <w:sz w:val="22"/>
          <w:szCs w:val="22"/>
        </w:rPr>
        <w:t xml:space="preserve">Schedule a tabletop exercise within 6 months to test the response to a similar scenario under the improved playbooks</w:t>
      </w:r>
    </w:p>
    <w:p>
      <w:pPr>
        <w:pStyle w:val="ListParagraph"/>
        <w:numPr>
          <w:ilvl w:val="0"/>
          <w:numId w:val="2"/>
        </w:numPr>
        <w:spacing w:before="40" w:after="40"/>
      </w:pPr>
      <w:r>
        <w:rPr>
          <w:rFonts w:ascii="Arial" w:cs="Arial" w:eastAsia="Arial" w:hAnsi="Arial"/>
          <w:b w:val="false"/>
          <w:bCs w:val="false"/>
          <w:sz w:val="22"/>
          <w:szCs w:val="22"/>
        </w:rPr>
        <w:t xml:space="preserve">Review and update the risk register to reflect residual risks identified during the PIR</w:t>
      </w:r>
    </w:p>
    <w:p>
      <w:pPr>
        <w:pStyle w:val="ListParagraph"/>
        <w:numPr>
          <w:ilvl w:val="0"/>
          <w:numId w:val="2"/>
        </w:numPr>
        <w:spacing w:before="40" w:after="40"/>
      </w:pPr>
      <w:r>
        <w:rPr>
          <w:rFonts w:ascii="Arial" w:cs="Arial" w:eastAsia="Arial" w:hAnsi="Arial"/>
          <w:b w:val="false"/>
          <w:bCs w:val="false"/>
          <w:sz w:val="22"/>
          <w:szCs w:val="22"/>
        </w:rPr>
        <w:t xml:space="preserve">Brief the board on lessons learned and programme improvement investments required — with a business case</w:t>
      </w:r>
    </w:p>
    <w:p>
      <w:pPr>
        <w:pStyle w:val="ListParagraph"/>
        <w:numPr>
          <w:ilvl w:val="0"/>
          <w:numId w:val="2"/>
        </w:numPr>
        <w:spacing w:before="40" w:after="40"/>
      </w:pPr>
      <w:r>
        <w:rPr>
          <w:rFonts w:ascii="Arial" w:cs="Arial" w:eastAsia="Arial" w:hAnsi="Arial"/>
          <w:b w:val="false"/>
          <w:bCs w:val="false"/>
          <w:sz w:val="22"/>
          <w:szCs w:val="22"/>
        </w:rPr>
        <w:t xml:space="preserve">Share anonymised lessons and IOCs with NCSC, sector ISAC, or peer organisations where appropriate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6"/>
              <w:left w:val="single" w:color="1E6B3C" w:sz="6"/>
              <w:bottom w:val="single" w:color="1E6B3C" w:sz="6"/>
              <w:right w:val="single" w:color="1E6B3C" w:sz="6"/>
            </w:tcBorders>
            <w:shd w:fill="1E6B3C" w:val="clear"/>
            <w:tcMar>
              <w:top w:type="dxa" w:w="80"/>
              <w:left w:type="dxa" w:w="140"/>
              <w:bottom w:type="dxa" w:w="60"/>
              <w:right w:type="dxa" w:w="140"/>
            </w:tcMar>
          </w:tcPr>
          <w:p>
            <w:pPr>
              <w:spacing w:before="0" w:after="0"/>
            </w:pPr>
            <w:r>
              <w:rPr>
                <w:rFonts w:ascii="Arial" w:cs="Arial" w:eastAsia="Arial" w:hAnsi="Arial"/>
                <w:b/>
                <w:bCs/>
                <w:color w:val="FFFFFF"/>
                <w:sz w:val="20"/>
                <w:szCs w:val="20"/>
              </w:rPr>
              <w:t xml:space="preserve">AUDIT TRAIL — LOG THE FOLLOWING</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PIR session must be formally minuted — minutes reviewed and approved by CISO.</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All action items from PIR must be in the recommendation register within 5 working days of the PIR session.</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Incident closure checklist must be completed and signed before incident is formally closed.</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All investigation documentation must be archived in an access-controlled repository and retained per the organisation's evidence retention policy (minimum 7 years for major incidents).</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Legal hold lift must be confirmed in writing by legal counsel and recorded in the investigation log.</w:t>
            </w:r>
          </w:p>
        </w:tc>
      </w:tr>
    </w:tbl>
    <w:p>
      <w:r>
        <w:br w:type="pag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80" w:after="0"/>
    </w:pPr>
    <w:r>
      <w:rPr>
        <w:rFonts w:ascii="Arial" w:cs="Arial" w:eastAsia="Arial" w:hAnsi="Arial"/>
        <w:i/>
        <w:iCs/>
        <w:color w:val="5D6D7E"/>
        <w:sz w:val="16"/>
        <w:szCs w:val="16"/>
      </w:rPr>
      <w:t xml:space="preserve">Proof of concept — not for operational use without review and approval</w:t>
    </w:r>
    <w:r>
      <w:rPr>
        <w:rFonts w:ascii="Arial" w:cs="Arial" w:eastAsia="Arial" w:hAnsi="Arial"/>
      </w:rPr>
      <w:t xml:space="preserve">	</w:t>
    </w:r>
    <w:r>
      <w:rPr>
        <w:rFonts w:ascii="Arial" w:cs="Arial" w:eastAsia="Arial" w:hAnsi="Arial"/>
        <w:color w:val="5D6D7E"/>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before="0" w:after="80"/>
    </w:pPr>
    <w:r>
      <w:rPr>
        <w:rFonts w:ascii="Arial" w:cs="Arial" w:eastAsia="Arial" w:hAnsi="Arial"/>
        <w:color w:val="5D6D7E"/>
        <w:sz w:val="16"/>
        <w:szCs w:val="16"/>
      </w:rPr>
      <w:t xml:space="preserve">DFIR WORKFLOW — END-TO-END INVESTIGATION FRAMEWORK</w:t>
    </w:r>
    <w:r>
      <w:rPr>
        <w:rFonts w:ascii="Arial" w:cs="Arial" w:eastAsia="Arial" w:hAnsi="Arial"/>
      </w:rPr>
      <w:t xml:space="preserve">	</w:t>
    </w:r>
    <w:r>
      <w:rPr>
        <w:rFonts w:ascii="Arial" w:cs="Arial" w:eastAsia="Arial" w:hAnsi="Arial"/>
        <w:b/>
        <w:bCs/>
        <w:color w:val="C0392B"/>
        <w:sz w:val="16"/>
        <w:szCs w:val="16"/>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565C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2026-03-12T13:32:40.813Z</dcterms:created>
  <dcterms:modified xsi:type="dcterms:W3CDTF">2026-03-12T13:32:40.814Z</dcterms:modified>
</cp:coreProperties>
</file>

<file path=docProps/custom.xml><?xml version="1.0" encoding="utf-8"?>
<Properties xmlns="http://schemas.openxmlformats.org/officeDocument/2006/custom-properties" xmlns:vt="http://schemas.openxmlformats.org/officeDocument/2006/docPropsVTypes"/>
</file>