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12"/>
              <w:left w:val="single" w:color="1A2A4A" w:sz="12"/>
              <w:bottom w:val="single" w:color="1A2A4A" w:sz="12"/>
              <w:right w:val="single" w:color="1A2A4A" w:sz="12"/>
            </w:tcBorders>
            <w:shd w:fill="1A2A4A" w:val="clear"/>
            <w:tcMar>
              <w:top w:type="dxa" w:w="600"/>
              <w:left w:type="dxa" w:w="500"/>
              <w:bottom w:type="dxa" w:w="600"/>
              <w:right w:type="dxa" w:w="500"/>
            </w:tcMar>
          </w:tcPr>
          <w:p>
            <w:pPr>
              <w:spacing w:before="0" w:after="80"/>
              <w:jc w:val="center"/>
            </w:pPr>
            <w:r>
              <w:rPr>
                <w:rFonts w:ascii="Arial" w:cs="Arial" w:eastAsia="Arial" w:hAnsi="Arial"/>
                <w:b/>
                <w:bCs/>
                <w:color w:val="FFFFFF"/>
                <w:sz w:val="56"/>
                <w:szCs w:val="56"/>
              </w:rPr>
              <w:t xml:space="preserve">INCIDENT RESPONSE</w:t>
            </w:r>
          </w:p>
          <w:p>
            <w:pPr>
              <w:spacing w:before="0" w:after="200"/>
              <w:jc w:val="center"/>
            </w:pPr>
            <w:r>
              <w:rPr>
                <w:rFonts w:ascii="Arial" w:cs="Arial" w:eastAsia="Arial" w:hAnsi="Arial"/>
                <w:b/>
                <w:bCs/>
                <w:color w:val="7FBBDD"/>
                <w:sz w:val="56"/>
                <w:szCs w:val="56"/>
              </w:rPr>
              <w:t xml:space="preserve">PLAYBOOK SUITE</w:t>
            </w:r>
          </w:p>
          <w:p>
            <w:pPr>
              <w:spacing w:before="0" w:after="200"/>
              <w:jc w:val="center"/>
            </w:pPr>
            <w:r>
              <w:rPr>
                <w:rFonts w:ascii="Arial" w:cs="Arial" w:eastAsia="Arial" w:hAnsi="Arial"/>
                <w:color w:val="3A6080"/>
                <w:sz w:val="24"/>
                <w:szCs w:val="24"/>
              </w:rPr>
              <w:t xml:space="preserve">─────────────────────────────</w:t>
            </w:r>
          </w:p>
          <w:p>
            <w:pPr>
              <w:spacing w:before="0" w:after="80"/>
              <w:jc w:val="center"/>
            </w:pPr>
            <w:r>
              <w:rPr>
                <w:rFonts w:ascii="Arial" w:cs="Arial" w:eastAsia="Arial" w:hAnsi="Arial"/>
                <w:i/>
                <w:iCs/>
                <w:color w:val="BDD7EE"/>
                <w:sz w:val="28"/>
                <w:szCs w:val="28"/>
              </w:rPr>
              <w:t xml:space="preserve">Five Critical Incident Scenarios</w:t>
            </w:r>
          </w:p>
          <w:p>
            <w:pPr>
              <w:spacing w:before="0" w:after="0"/>
              <w:jc w:val="center"/>
            </w:pPr>
            <w:r>
              <w:rPr>
                <w:rFonts w:ascii="Arial" w:cs="Arial" w:eastAsia="Arial" w:hAnsi="Arial"/>
                <w:color w:val="7FBBDD"/>
                <w:sz w:val="24"/>
                <w:szCs w:val="24"/>
              </w:rPr>
              <w:t xml:space="preserve">Large-Scale, Global, Segmented Enterprise</w:t>
            </w:r>
          </w:p>
        </w:tc>
      </w:tr>
    </w:tbl>
    <w:p>
      <w:pPr>
        <w:spacing w:before="3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D6E4F0" w:sz="4"/>
              <w:left w:val="single" w:color="D6E4F0" w:sz="4"/>
              <w:bottom w:val="single" w:color="D6E4F0" w:sz="4"/>
              <w:right w:val="single" w:color="D6E4F0" w:sz="4"/>
            </w:tcBorders>
            <w:shd w:fill="EEF5FB" w:val="clear"/>
            <w:tcMar>
              <w:top w:type="dxa" w:w="100"/>
              <w:left w:type="dxa" w:w="160"/>
              <w:bottom w:type="dxa" w:w="100"/>
              <w:right w:type="dxa" w:w="160"/>
            </w:tcMar>
          </w:tcPr>
          <w:p>
            <w:pPr>
              <w:spacing w:before="0" w:after="20"/>
            </w:pPr>
            <w:r>
              <w:rPr>
                <w:rFonts w:ascii="Arial" w:cs="Arial" w:eastAsia="Arial" w:hAnsi="Arial"/>
                <w:b/>
                <w:bCs/>
                <w:color w:val="1A2A4A"/>
                <w:sz w:val="20"/>
                <w:szCs w:val="20"/>
              </w:rPr>
              <w:t xml:space="preserve">Classification</w:t>
            </w:r>
          </w:p>
          <w:p>
            <w:pPr>
              <w:spacing w:before="0" w:after="0"/>
            </w:pPr>
            <w:r>
              <w:rPr>
                <w:rFonts w:ascii="Arial" w:cs="Arial" w:eastAsia="Arial" w:hAnsi="Arial"/>
                <w:color w:val="C0392B"/>
                <w:sz w:val="20"/>
                <w:szCs w:val="20"/>
              </w:rPr>
              <w:t xml:space="preserve">CONFIDENTIAL — INTERNAL USE ONLY</w:t>
            </w:r>
          </w:p>
        </w:tc>
        <w:tc>
          <w:tcPr>
            <w:tcW w:type="dxa" w:w="4720"/>
            <w:tcBorders>
              <w:top w:val="single" w:color="D6E4F0" w:sz="4"/>
              <w:left w:val="single" w:color="D6E4F0" w:sz="4"/>
              <w:bottom w:val="single" w:color="D6E4F0" w:sz="4"/>
              <w:right w:val="single" w:color="D6E4F0" w:sz="4"/>
            </w:tcBorders>
            <w:shd w:fill="EEF5FB" w:val="clear"/>
            <w:tcMar>
              <w:top w:type="dxa" w:w="100"/>
              <w:left w:type="dxa" w:w="160"/>
              <w:bottom w:type="dxa" w:w="100"/>
              <w:right w:type="dxa" w:w="160"/>
            </w:tcMar>
          </w:tcPr>
          <w:p>
            <w:pPr>
              <w:spacing w:before="0" w:after="20"/>
            </w:pPr>
            <w:r>
              <w:rPr>
                <w:rFonts w:ascii="Arial" w:cs="Arial" w:eastAsia="Arial" w:hAnsi="Arial"/>
                <w:b/>
                <w:bCs/>
                <w:color w:val="1A2A4A"/>
                <w:sz w:val="20"/>
                <w:szCs w:val="20"/>
              </w:rPr>
              <w:t xml:space="preserve">Version</w:t>
            </w:r>
          </w:p>
          <w:p>
            <w:pPr>
              <w:spacing w:before="0" w:after="0"/>
            </w:pPr>
            <w:r>
              <w:rPr>
                <w:rFonts w:ascii="Arial" w:cs="Arial" w:eastAsia="Arial" w:hAnsi="Arial"/>
                <w:sz w:val="20"/>
                <w:szCs w:val="20"/>
              </w:rPr>
              <w:t xml:space="preserve">1.0 — March 2026</w:t>
            </w:r>
          </w:p>
        </w:tc>
      </w:tr>
      <w:tr>
        <w:tc>
          <w:tcPr>
            <w:tcW w:type="dxa" w:w="4640"/>
            <w:tcBorders>
              <w:top w:val="single" w:color="D6E4F0" w:sz="4"/>
              <w:left w:val="single" w:color="D6E4F0" w:sz="4"/>
              <w:bottom w:val="single" w:color="D6E4F0" w:sz="4"/>
              <w:right w:val="single" w:color="D6E4F0" w:sz="4"/>
            </w:tcBorders>
            <w:shd w:fill="FFFFFF" w:val="clear"/>
            <w:tcMar>
              <w:top w:type="dxa" w:w="100"/>
              <w:left w:type="dxa" w:w="160"/>
              <w:bottom w:type="dxa" w:w="100"/>
              <w:right w:type="dxa" w:w="160"/>
            </w:tcMar>
          </w:tcPr>
          <w:p>
            <w:pPr>
              <w:spacing w:before="0" w:after="20"/>
            </w:pPr>
            <w:r>
              <w:rPr>
                <w:rFonts w:ascii="Arial" w:cs="Arial" w:eastAsia="Arial" w:hAnsi="Arial"/>
                <w:b/>
                <w:bCs/>
                <w:color w:val="1A2A4A"/>
                <w:sz w:val="20"/>
                <w:szCs w:val="20"/>
              </w:rPr>
              <w:t xml:space="preserve">Applicability</w:t>
            </w:r>
          </w:p>
          <w:p>
            <w:pPr>
              <w:spacing w:before="0" w:after="0"/>
            </w:pPr>
            <w:r>
              <w:rPr>
                <w:rFonts w:ascii="Arial" w:cs="Arial" w:eastAsia="Arial" w:hAnsi="Arial"/>
                <w:sz w:val="20"/>
                <w:szCs w:val="20"/>
              </w:rPr>
              <w:t xml:space="preserve">Large global enterprise — segmented but interconnected infrastructure</w:t>
            </w:r>
          </w:p>
        </w:tc>
        <w:tc>
          <w:tcPr>
            <w:tcW w:type="dxa" w:w="4720"/>
            <w:tcBorders>
              <w:top w:val="single" w:color="D6E4F0" w:sz="4"/>
              <w:left w:val="single" w:color="D6E4F0" w:sz="4"/>
              <w:bottom w:val="single" w:color="D6E4F0" w:sz="4"/>
              <w:right w:val="single" w:color="D6E4F0" w:sz="4"/>
            </w:tcBorders>
            <w:shd w:fill="FFFFFF" w:val="clear"/>
            <w:tcMar>
              <w:top w:type="dxa" w:w="100"/>
              <w:left w:type="dxa" w:w="160"/>
              <w:bottom w:type="dxa" w:w="100"/>
              <w:right w:type="dxa" w:w="160"/>
            </w:tcMar>
          </w:tcPr>
          <w:p>
            <w:pPr>
              <w:spacing w:before="0" w:after="20"/>
            </w:pPr>
            <w:r>
              <w:rPr>
                <w:rFonts w:ascii="Arial" w:cs="Arial" w:eastAsia="Arial" w:hAnsi="Arial"/>
                <w:b/>
                <w:bCs/>
                <w:color w:val="1A2A4A"/>
                <w:sz w:val="20"/>
                <w:szCs w:val="20"/>
              </w:rPr>
              <w:t xml:space="preserve">Review Cycle</w:t>
            </w:r>
          </w:p>
          <w:p>
            <w:pPr>
              <w:spacing w:before="0" w:after="0"/>
            </w:pPr>
            <w:r>
              <w:rPr>
                <w:rFonts w:ascii="Arial" w:cs="Arial" w:eastAsia="Arial" w:hAnsi="Arial"/>
                <w:sz w:val="20"/>
                <w:szCs w:val="20"/>
              </w:rPr>
              <w:t xml:space="preserve">Annual or post-major incident</w:t>
            </w:r>
          </w:p>
        </w:tc>
      </w:tr>
    </w:tbl>
    <w:p>
      <w:pPr>
        <w:spacing w:before="200" w:after="0"/>
      </w:pPr>
      <w:r>
        <w:rPr>
          <w:rFonts w:ascii="Arial" w:cs="Arial" w:eastAsia="Arial" w:hAnsi="Arial"/>
        </w:rPr>
        <w:t xml:space="preserve"/>
      </w:r>
    </w:p>
    <w:p>
      <w:pPr>
        <w:spacing w:before="80" w:after="0"/>
        <w:jc w:val="center"/>
      </w:pPr>
      <w:r>
        <w:rPr>
          <w:rFonts w:ascii="Arial" w:cs="Arial" w:eastAsia="Arial" w:hAnsi="Arial"/>
          <w:i/>
          <w:iCs/>
          <w:color w:val="5D6D7E"/>
          <w:sz w:val="18"/>
          <w:szCs w:val="18"/>
        </w:rPr>
        <w:t xml:space="preserve">Proof of concept document. Not for operational use without review and approval.</w:t>
      </w:r>
    </w:p>
    <w:p>
      <w:r>
        <w:br w:type="page"/>
      </w:r>
    </w:p>
    <w:p>
      <w:pPr>
        <w:pStyle w:val="Heading1"/>
        <w:pBdr>
          <w:bottom w:val="single" w:color="2E75B6" w:sz="8" w:space="4"/>
        </w:pBdr>
        <w:spacing w:before="480" w:after="200"/>
      </w:pPr>
      <w:r>
        <w:rPr>
          <w:rFonts w:ascii="Arial" w:cs="Arial" w:eastAsia="Arial" w:hAnsi="Arial"/>
          <w:b/>
          <w:bCs/>
          <w:color w:val="1A2A4A"/>
          <w:sz w:val="36"/>
          <w:szCs w:val="36"/>
        </w:rPr>
        <w:t xml:space="preserve">Playbook 1: Ransomware — Enterprise-Wide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Type</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Ransomware / Extortion</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Actor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Financially motivated — organised cybercriminal group (e.g. LockBit, BlackCat/ALPHV, Cl0p)</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Severity</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CRITICAL — P1</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Likely Trigger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EDR mass alert, ransom note displayed, business systems unavailable, NOC/SOC alert on lateral movement</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Key Risk</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Cross-region spread via trusted interconnects, backup encryption, data exfiltration, operational shutdown</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Regulations</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ICO (UK GDPR, 72hr), NIS2/NIS Regs (CNI), DORA (Financial), PCI DSS, sector-specific regulators</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Playbook Owner</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CISO / Head of Incident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C0392B"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CRITICAL — READ BEFORE RESPONDING</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1. Do NOT reboot affected systems — this may destroy forensic evidence and trigger additional payloads.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2. Do NOT pay the ransom without legal counsel and law enforcement consultation.</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3. Assume backups are compromised until independently verified.</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4. Switch to out-of-band communications immediately — email may be monitored or encrypted.</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5. Preserve all evidence — enforce legal hold from the moment of declaration.</w:t>
            </w:r>
          </w:p>
        </w:tc>
      </w:tr>
    </w:tbl>
    <w:p>
      <w:pPr>
        <w:pStyle w:val="Heading2"/>
        <w:spacing w:before="320" w:after="120"/>
      </w:pPr>
      <w:r>
        <w:rPr>
          <w:rFonts w:ascii="Arial" w:cs="Arial" w:eastAsia="Arial" w:hAnsi="Arial"/>
          <w:b/>
          <w:bCs/>
          <w:color w:val="1565C0"/>
          <w:sz w:val="28"/>
          <w:szCs w:val="28"/>
        </w:rPr>
        <w:t xml:space="preserve">Scenario Description</w:t>
      </w:r>
    </w:p>
    <w:p>
      <w:pPr>
        <w:spacing w:before="60" w:after="60"/>
      </w:pPr>
      <w:r>
        <w:rPr>
          <w:rFonts w:ascii="Arial" w:cs="Arial" w:eastAsia="Arial" w:hAnsi="Arial"/>
          <w:sz w:val="22"/>
          <w:szCs w:val="22"/>
        </w:rPr>
        <w:t xml:space="preserve">A financially-motivated threat actor has achieved domain-level persistence across one or more regions of the enterprise. Ransomware has been deployed simultaneously across multiple segments via compromised privileged accounts. Ransom notes are displayed, file encryption is active or complete, and a data leak threat has been received. The attacker likely had access for days to weeks prior to detonation.</w:t>
      </w:r>
    </w:p>
    <w:p>
      <w:pPr>
        <w:spacing w:before="60" w:after="60"/>
      </w:pPr>
      <w:r>
        <w:rPr>
          <w:rFonts w:ascii="Arial" w:cs="Arial" w:eastAsia="Arial" w:hAnsi="Arial"/>
          <w:sz w:val="22"/>
          <w:szCs w:val="22"/>
        </w:rPr>
        <w:t xml:space="preserve">The interconnected nature of the environment means the blast radius is unclear at initial detection. Network segmentation may have contained spread in some zones; trust relationships between segments may have enabled propagation in others.</w:t>
      </w:r>
    </w:p>
    <w:p>
      <w:pPr>
        <w:pStyle w:val="Heading2"/>
        <w:spacing w:before="320" w:after="120"/>
      </w:pPr>
      <w:r>
        <w:rPr>
          <w:rFonts w:ascii="Arial" w:cs="Arial" w:eastAsia="Arial" w:hAnsi="Arial"/>
          <w:b/>
          <w:bCs/>
          <w:color w:val="1565C0"/>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65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Incident Commander (CISO)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Overall command, board liaison, external engagement authorisation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IR Lead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Technical response coordination, forensics direction, containment decisions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SOC / Detection Team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Alert triage, scope determination, ongoing monitoring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IT Operations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Network isolation, system shutdown, backup verification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Identity Team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AD/Entra lockdown, credential reset, break-glass activation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Legal Counsel</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Regulatory obligations, ransom payment advice, evidence handling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DPO / Privacy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72-hour ICO assessment, personal data impact, data subject notification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Communications / PR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Internal comms, external holding statement, media management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Executive / Board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Decision authority on payment, public disclosure, resource allocation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External IR Retainer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Forensic investigation, threat actor attribution, eradication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1: DETECTION &amp; INITIAL TRIAGE</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T+0 to T+30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SOC Analyst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Receive and validate initial alert(s). Confirm ransomware indicators: mass file encryption, ransom note, C2 traffic, credential dumping activity.</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Do not dismiss as false positive. Cross-reference across SIEM, EDR, and NOC.</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SOC Lead</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Declare P1 Major Incident. Activate incident response retainer and notify Incident Commander via out-of-band channel (phone/Signal).</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Email cannot be trusted. Use pre-defined OOB channel.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Convene emergency bridge call with IR team. Establish shared incident log and evidence folder. Assign roles from RACI.</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Time-stamp all actions from this point. Every decision must be logged.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SOC / EDR Team</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Determine initial scope: which hosts, segments, and regions are affected. Identify patient zero if possible. Map active C2 connections.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Do not action containment yet — scope first to avoid blind isolation.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Identify and locate all backup systems. Do NOT begin restoration. Verify whether backup infrastructure is on-domain or reachable from affected environment.</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On-domain backups should be assumed compromised.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6</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Incident Commander</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Notify board member and CLO. Confirm external IR retainer is engaged. Brief executive team on initial situation.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Keep to facts. Do not speculate on cause or actor at this stage.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2: CONTAINMENT</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T+30 minutes to T+4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Determine containment strategy: full isolation vs. targeted. Consider whether partial containment preserves forensic opportunity while limiting spread.</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Full shutdown destroys volatile evidence. Targeted isolation preferred where spread is confirmed bounded.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8</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SOC / EDR Team</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Isolate confirmed-infected endpoints via EDR remote isolation. Do NOT power off. Capture memory image on key systems before isolation where time allows.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Memory forensics captures encryption keys, attacker tooling, and credentials in flight.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 / Network</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Block identified malicious IP addresses, domains, and C2 infrastructure at perimeter. Implement emergency firewall rules. Disable inter-segment trust relationships under review.</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Get IOCs from EDR/SIEM. Cross-check against threat intel feed.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10</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Identity Team</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Reset KRBTGT account password twice (30 minutes apart). Disable all compromised accounts identified so far. Enable sign-in logging for all privileged accounts.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KRBTGT reset invalidates all Kerberos tickets. Coordinate with IT — this will cause service disruption.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Identity Team</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Identify and secure break-glass accounts. Ensure they are MFA-protected, not on the compromised domain, and accessible.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If break-glass accounts are domain-joined and compromised, recovery becomes significantly harder.</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Verify status of offline/immutable backup copies. Confirm integrity via hash or out-of-band access. Do not mount or connect to production network.</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If backups are verified clean, begin restoration planning in parallel — do not rush recovery.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Engage external forensics provider if not already active. Share EDR telemetry, SIEM exports, and memory captures. Request immediate IOC enrichment.</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External IR provider may have seen this actor before — request TTP attribution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3: ASSESSMENT &amp; NOTIFICATION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T+4 to T+24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 / IR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Determine initial access vector. Review logs for initial intrusion: phishing, VPN credentials, exposed RDP, supply chain.</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Attribution informs scope — if supply chain, third parties must be notified.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15</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 / IR</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Determine dwell time. Review logs back 30–90 days for signs of pre-ransomware activity: credential theft, lateral movement, data staging.</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Dwell time determines scope of data at risk. Critical for ICO notification accuracy.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DPO / Legal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Assess whether personal data has been accessed or exfiltrated. Review threat actor leak site claim if present. Begin ICO 72-hour notification assessment.</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The 72-hour clock runs from point of awareness of a personal data breach — document this time precisely.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17</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Legal Counsel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Notify law enforcement: NCSC, NCA Cybercrime, and Action Fraud. For CNI sectors, notify sector Competent Authority. Do NOT make public statements yet.</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Law enforcement engagement should precede any ransom payment consideration.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Legal / DPO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File ICO Article 33 notification if personal data breach is confirmed or cannot be ruled out. Document basis of decision. Retain legal counsel privilege on communications.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File within 72 hours even if investigation is incomplete — update as facts develop.</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19</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Comms / PR</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Issue internal holding communication to all staff: acknowledge disruption, instruct not to speak externally, provide IT guidance on affected systems.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Staff will talk. Control the narrative early to prevent speculation and misinformation.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Incident Commander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Convene board briefing. Provide: timeline, confirmed scope, regulatory status, recovery ETA, business impact, and resourcing requirements.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Board will need to approve major expenditure (forensics, clean infrastructure, comms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6"/>
              <w:left w:val="single" w:color="B7770D" w:sz="6"/>
              <w:bottom w:val="single" w:color="B7770D" w:sz="6"/>
              <w:right w:val="single" w:color="B7770D" w:sz="6"/>
            </w:tcBorders>
            <w:shd w:fill="B7770D"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RANSOM PAYMENT DECISION</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This decision must involve: CISO, CLO, CEO, and external legal counsel.</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Considerations: Will payment restore data? (Not guaranteed.) Is payment legal in this jurisdiction? Is the actor sanctioned?</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UK / US: Payments to sanctioned entities are illegal regardless of circumstances.</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Law enforcement (NCA, NCSC) must be consulted before any payment decision.</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Payment does not guarantee data deletion or decryption, and may invite further attacks.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4: ERADICATION &amp; RECOVERY</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T+24 hours to T+2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 / IR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Confirm complete attacker eviction: all persistence mechanisms removed, all compromised accounts reset, all malicious tooling purged. Validate with threat hunting sweep.</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Do not begin recovery until eradication is confirmed. Recovering into a compromised environment extends the incident.</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Build clean recovery environment: new domain controllers if AD was compromised, clean network segments, re-imaged servers from known-good baselines.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Never restore directly to production — validate in isolated recovery environment first.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 / Business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Prioritise recovery order based on Business Impact Analysis: life-safety systems first, then revenue-critical, then operational, then supporting.</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BIA should be pre-defined. If not, Incident Commander must make the call with business owners.</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Restore systems from verified clean backups. Validate integrity of each restored system before connecting to network. Apply all outstanding patches before reconnection.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Patch before reconnect — returning an unpatched system creates immediate re-infection risk.</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Identity Team</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Force password reset for all accounts across the enterprise. Enforce MFA for all remote access and privileged accounts before systems return to service.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Assume all credentials were harvested during dwell period.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26</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Phased reconnection of recovered segments under monitoring. Enhanced EDR and SIEM rules active. Out-of-band monitoring maintained for 72 hours post-reconnection.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Threat actors sometimes maintain persistence through recovery. Watch carefully.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5: POST-INCIDENT</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T+2 to T+4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Conduct Post-Incident Review (PIR) within 2 weeks of recovery. All IR team members, business stakeholders, and external forensics to attend.</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Focus on: root cause, detection failures, containment gaps, regulatory handling, recovery time vs RTO.</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28</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DPO / Legal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Submit final ICO notification with complete facts. Assess need for data subject notification. Respond to any ICO enquiry or enforcement action.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Keep all ICO communications under legal privilege where possible.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CISO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Produce executive lessons-learned report. Assign remediation actions with owners and deadlines. Track in risk register.</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Remediation actions must be time-bound and board-reported.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30</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All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Update IRP, playbooks, and tabletop scenarios to reflect lessons learned. Schedule next tabletop within 6 months.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If the same root cause recurs, the PIR process has failed.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1E6B3C"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KEY METRICS TO CAPTURE</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Time to Detect (TTD): From initial compromise to first alert.</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Time to Declare (TTDec): From first alert to P1 Major Incident declaration.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Time to Contain (TTC): From declaration to confirmed network isolation.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Time to Eradicate (TTE): From containment to confirmed attacker eviction.</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Time to Recover (TTR): From eradication to production systems restored.</w:t>
            </w:r>
          </w:p>
        </w:tc>
      </w:tr>
      <w:tr>
        <w:tc>
          <w:tcPr>
            <w:tcW w:type="dxa" w:w="9360"/>
            <w:tcBorders>
              <w:top w:val="single" w:color="1E6B3C" w:sz="4"/>
              <w:left w:val="single" w:color="1E6B3C" w:sz="4"/>
              <w:bottom w:val="single" w:color="1E6B3C" w:sz="4"/>
              <w:right w:val="single" w:color="1E6B3C" w:sz="4"/>
            </w:tcBorders>
            <w:shd w:fill="E9F7EF" w:val="clear"/>
            <w:tcMar>
              <w:top w:type="dxa" w:w="60"/>
              <w:left w:type="dxa" w:w="140"/>
              <w:bottom w:type="dxa" w:w="60"/>
              <w:right w:type="dxa" w:w="140"/>
            </w:tcMar>
          </w:tcPr>
          <w:p>
            <w:pPr>
              <w:spacing w:before="20" w:after="20"/>
            </w:pPr>
            <w:r>
              <w:rPr>
                <w:rFonts w:ascii="Arial" w:cs="Arial" w:eastAsia="Arial" w:hAnsi="Arial"/>
                <w:sz w:val="21"/>
                <w:szCs w:val="21"/>
              </w:rPr>
              <w:t xml:space="preserve">Data at Risk: Volume and categories of data accessible during dwell period.</w:t>
            </w:r>
          </w:p>
        </w:tc>
      </w:tr>
    </w:tbl>
    <w:p>
      <w:r>
        <w:br w:type="page"/>
      </w:r>
    </w:p>
    <w:p>
      <w:pPr>
        <w:pStyle w:val="Heading1"/>
        <w:pBdr>
          <w:bottom w:val="single" w:color="2E75B6" w:sz="8" w:space="4"/>
        </w:pBdr>
        <w:spacing w:before="480" w:after="200"/>
      </w:pPr>
      <w:r>
        <w:rPr>
          <w:rFonts w:ascii="Arial" w:cs="Arial" w:eastAsia="Arial" w:hAnsi="Arial"/>
          <w:b/>
          <w:bCs/>
          <w:color w:val="1A2A4A"/>
          <w:sz w:val="36"/>
          <w:szCs w:val="36"/>
        </w:rPr>
        <w:t xml:space="preserve">Playbook 2: Supply Chain Compromise — Trusted Software / MSP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Type</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Supply Chain — Backdoored software update or compromised managed service provider</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Actor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Nation-state or sophisticated criminal group (e.g. SolarWinds-style, 3CX, MOVEit)</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Severity</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CRITICAL — P1</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Likely Trigger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NCSC Early Warning, threat intel feed, anomalous behaviour from trusted software, supplier notification</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Key Risk</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Wide blast radius via trusted distribution channel, long dwell time, uncertainty around data access, complex notification obligations</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Regulations</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ICO 72hr, NIS2 OES reporting, sector CA notification, supplier contractual obligations</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Playbook Owner</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CISO / Head of Incident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C0392B"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CRITICAL — READ BEFORE RESPONDING</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1. Do NOT immediately revoke the supplier's access — covert monitoring may yield better intelligence.</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2. Scope is likely wider than initially apparent. Assume all instances of the affected software are compromised.</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3. Notification obligations are complex where breach cannot yet be confirmed — err toward notification.</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4. Preserve all supplier communications under legal hold from the outset.</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5. Your organisation may itself be a supplier to others — assess downstream notification obligations.</w:t>
            </w:r>
          </w:p>
        </w:tc>
      </w:tr>
    </w:tbl>
    <w:p>
      <w:pPr>
        <w:pStyle w:val="Heading2"/>
        <w:spacing w:before="320" w:after="120"/>
      </w:pPr>
      <w:r>
        <w:rPr>
          <w:rFonts w:ascii="Arial" w:cs="Arial" w:eastAsia="Arial" w:hAnsi="Arial"/>
          <w:b/>
          <w:bCs/>
          <w:color w:val="1565C0"/>
          <w:sz w:val="28"/>
          <w:szCs w:val="28"/>
        </w:rPr>
        <w:t xml:space="preserve">Scenario Description</w:t>
      </w:r>
    </w:p>
    <w:p>
      <w:pPr>
        <w:spacing w:before="60" w:after="60"/>
      </w:pPr>
      <w:r>
        <w:rPr>
          <w:rFonts w:ascii="Arial" w:cs="Arial" w:eastAsia="Arial" w:hAnsi="Arial"/>
          <w:sz w:val="22"/>
          <w:szCs w:val="22"/>
        </w:rPr>
        <w:t xml:space="preserve">A threat actor has compromised a software vendor or managed service provider used by the organisation. A malicious payload has been delivered via a legitimate, signed software update or through the MSP's remote access tooling. The compromise may have been present for weeks or months before detection. The affected software or tooling is deployed across multiple business units and geographic regions.</w:t>
      </w:r>
    </w:p>
    <w:p>
      <w:pPr>
        <w:spacing w:before="60" w:after="60"/>
      </w:pPr>
      <w:r>
        <w:rPr>
          <w:rFonts w:ascii="Arial" w:cs="Arial" w:eastAsia="Arial" w:hAnsi="Arial"/>
          <w:sz w:val="22"/>
          <w:szCs w:val="22"/>
        </w:rPr>
        <w:t xml:space="preserve">Unlike ransomware, this scenario may not have an obvious detonation point. Detection is often via anomalous behaviour, external notification, or post-incident discovery. The fundamental challenge is scoping what data the attacker accessed across an extended and uncertain dwell period.</w:t>
      </w:r>
    </w:p>
    <w:p>
      <w:pPr>
        <w:pStyle w:val="Heading2"/>
        <w:spacing w:before="320" w:after="120"/>
      </w:pPr>
      <w:r>
        <w:rPr>
          <w:rFonts w:ascii="Arial" w:cs="Arial" w:eastAsia="Arial" w:hAnsi="Arial"/>
          <w:b/>
          <w:bCs/>
          <w:color w:val="1565C0"/>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6560"/>
            <w:tcBorders>
              <w:top w:val="single" w:color="1A2A4A" w:sz="6"/>
              <w:left w:val="single" w:color="1A2A4A" w:sz="6"/>
              <w:bottom w:val="single" w:color="1A2A4A" w:sz="6"/>
              <w:right w:val="single" w:color="1A2A4A" w:sz="6"/>
            </w:tcBorders>
            <w:shd w:fill="1A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Incident Commander (CISO)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Overall command, supplier relationship management, board liaison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IR Lead</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Technical response, forensic scoping, containment strategy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SOC / Threat Hunting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Hunt for indicators of compromise across all affected deployments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Third-Party Risk / Procurement</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Supplier engagement, contract review, SLA enforcement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Legal Counsel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Contractual obligations, notification under uncertainty, evidence preservation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DPO / Privacy</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Personal data impact assessment, ICO notification, data subject obligations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Business Unit Leads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Identify data and systems accessed by the compromised tool</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b/>
                <w:bCs/>
                <w:sz w:val="20"/>
                <w:szCs w:val="20"/>
              </w:rPr>
              <w:t xml:space="preserve">External IR Retainer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pPr>
            <w:r>
              <w:rPr>
                <w:rFonts w:ascii="Arial" w:cs="Arial" w:eastAsia="Arial" w:hAnsi="Arial"/>
                <w:sz w:val="20"/>
                <w:szCs w:val="20"/>
              </w:rPr>
              <w:t xml:space="preserve">Independent forensic investigation, attribution, IOC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1: DETECTION &amp; TRIAGE</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T+0 to T+2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SOC / 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Receive and validate trigger (NCSC alert, supplier notification, internal anomaly). Confirm affected software/tooling, version(s), and deployment scope.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Request IOCs and full technical advisory from supplier immediately.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Declare P1. Engage external forensics retainer. Do not revoke supplier access yet — assess intelligence value of monitoring covert attacker activity.</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The decision to monitor vs. evict must be made with legal counsel involvement.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SOC / Hunt Team</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Query SIEM and EDR for all installations of affected software. Identify hosts, user accounts, data stores, and network locations with access from the compromised tool.</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Create complete asset inventory of affected deployment. This is the blast radius baseline.</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Revoke all MSP/vendor remote access credentials and VPN certificates if active exploitation confirmed or covert monitoring not elected.</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Coordinate with Third-Party Risk team. Check for shared credentials across systems.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Third-Party Risk</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Engage supplier security team. Request: full technical investigation report, IOC list, confirmation of which customers are affected, and remediation timeline.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Place supplier on formal incident notice. Engage legal to review breach notification clauses in contract.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2: SCOPING &amp; INVESTIGATION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T+2 to T+72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 / Hunt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Hunt across all affected systems for backdoor activity: unusual outbound connections, new scheduled tasks, registry persistence, credential access, data staging.</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IOCs from supplier may not be complete. Conduct behavioural hunting, not just IOC matching.</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7</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Determine dwell time. Review logs from before the compromised update was deployed. Establish timeline of attacker activity.</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Dwell time may exceed log retention. Note evidence gaps — document for ICO and forensics report.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 / BU Leads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Assess data access: what data repositories, shares, databases, and email stores were accessible to the compromised tool or through compromised accounts?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Map data access to data classification. Identify personal data, IP, financial data, privileged communications.</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9</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DPO / Legal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Begin ICO notification assessment. You do not need certainty of exfiltration — risk of access to personal data is sufficient. Document the uncertainty explicitly.</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72-hour clock from point of awareness. File with confirmed facts; update as investigation develops.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Legal / Procurement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Review supplier contract: breach notification obligations, right to audit, liability clauses, indemnification. Preserve all supplier communications.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Engage litigation legal if supplier liability is anticipated.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3: CONTAINMENT &amp; NOTIFICATION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T+24 to T+96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Contain: remove affected software, revoke all associated credentials and tokens, isolate systems showing active compromise indicators.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Where software cannot be immediately removed (operational dependency), implement compensating controls: network isolation, enhanced monitoring.</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Legal / DPO</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File ICO notification. Notify other affected regulators (sector CA, NIS, DORA) as applicable. Assess downstream notification to other organisations if you are a supplier.</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You may have an obligation to notify your own customers if their data was in scope.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Comms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Prepare internal and external communications. Do not disclose specifics publicly until legal review. Notify affected business unit heads with facts and guidance.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External statements may need to be coordinated with the supplier — agree approach with legal.</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CISO</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Brief board: scope, regulatory status, supplier relationship stance, business impact, and remediation roadmap.</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Board may want to suspend supplier relationship — decisions should be based on legal advice.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4: ERADICATION &amp; RECOVERY</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T+4 days to T+3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 / Forensics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Remove all instances of compromised software. Validate removal via independent scan. Deploy alternative tooling if available.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Do not reinstall from the same supplier until a clean version is verified by an independent third party.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16</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Identity Team</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Rotate all credentials that may have been accessible to the compromised tool or harvested during dwell period. This includes service accounts, API keys, and certificates.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Prioritise any credentials with access to sensitive data, privileged systems, or external services.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Validate full eradication via threat hunting sweep. Confirm no residual persistence mechanisms remain. Reconnect systems under enhanced monitoring.</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Conduct second sweep 72 hours after initial eradication sweep.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5: POST-INCIDENT</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T+3 to T+6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Third-Party Risk</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Conduct full review of MSP/software supplier risk posture. Implement enhanced due diligence for all critical suppliers: annual security assessments, contractual security requirements, right-to-audit.</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Consider SBOM requirements for all critical software.</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19</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 / CISO</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PIR: root cause, detection gap analysis, scope determination process, notification handling. Update third-party risk framework and supplier incident response clause template.</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All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Implement software supply chain controls: update integrity verification, SBOM tracking, staged update rollout with monitoring window before enterprise deployment.</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Consider a supplier security tiering programme for all critical vendors.</w:t>
            </w:r>
          </w:p>
        </w:tc>
      </w:tr>
    </w:tbl>
    <w:p>
      <w:r>
        <w:br w:type="page"/>
      </w:r>
    </w:p>
    <w:p>
      <w:pPr>
        <w:pStyle w:val="Heading1"/>
        <w:pBdr>
          <w:bottom w:val="single" w:color="2E75B6" w:sz="8" w:space="4"/>
        </w:pBdr>
        <w:spacing w:before="480" w:after="200"/>
      </w:pPr>
      <w:r>
        <w:rPr>
          <w:rFonts w:ascii="Arial" w:cs="Arial" w:eastAsia="Arial" w:hAnsi="Arial"/>
          <w:b/>
          <w:bCs/>
          <w:color w:val="1A2A4A"/>
          <w:sz w:val="36"/>
          <w:szCs w:val="36"/>
        </w:rPr>
        <w:t xml:space="preserve">Playbook 3: Insider Threat — Privileged Data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Type</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Malicious insider — systematic data exfiltration by a privileged employee or contractor</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Actor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Internal — senior employee, contractor, or privileged user (motivated by financial gain, grievance, or competitor espionage)</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Severity</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HIGH — P1/P2 dependent on data sensitivity</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Likely Trigger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DLP alert, UEBA anomaly, HR escalation, line manager report, departing employee review</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Key Risk</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Exfiltration of IP, M&amp;A data, customer PII, or strategic information. Multi-jurisdiction employment law complexity. Legal privilege requirements for covert investigation.</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Regulations</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ICO 72hr (if PII exfiltrated), GDPR, employment law (jurisdiction-specific), Computer Misuse Act 1990 (UK)</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Playbook Owner</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CISO in partnership with HR Director and Legal Counsel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C0392B"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CRITICAL — READ BEFORE RESPONDING</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1. Do NOT alert the subject until legal and HR have authorised the approach and evidence is secured.</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2. Separate HR/employment investigation from IT/security investigation — different legal privilege applies.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3. All investigation documentation must be created under legal professional privilege from the outset.</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4. In multi-jurisdiction scenarios, employment law differs significantly — get local legal advice for each region.</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5. Evidence must be handled under strict chain of custody — inadmissible evidence undermines prosecution.</w:t>
            </w:r>
          </w:p>
        </w:tc>
      </w:tr>
    </w:tbl>
    <w:p>
      <w:pPr>
        <w:pStyle w:val="Heading2"/>
        <w:spacing w:before="320" w:after="120"/>
      </w:pPr>
      <w:r>
        <w:rPr>
          <w:rFonts w:ascii="Arial" w:cs="Arial" w:eastAsia="Arial" w:hAnsi="Arial"/>
          <w:b/>
          <w:bCs/>
          <w:color w:val="1565C0"/>
          <w:sz w:val="28"/>
          <w:szCs w:val="28"/>
        </w:rPr>
        <w:t xml:space="preserve">Scenario Description</w:t>
      </w:r>
    </w:p>
    <w:p>
      <w:pPr>
        <w:spacing w:before="60" w:after="60"/>
      </w:pPr>
      <w:r>
        <w:rPr>
          <w:rFonts w:ascii="Arial" w:cs="Arial" w:eastAsia="Arial" w:hAnsi="Arial"/>
          <w:sz w:val="22"/>
          <w:szCs w:val="22"/>
        </w:rPr>
        <w:t xml:space="preserve">A senior employee or privileged contractor with legitimate access to sensitive systems has been systematically exfiltrating data over a period of weeks or months. The data may include intellectual property, M&amp;A sensitive information, customer PII, commercially sensitive pricing or strategy, or regulated financial information. The subject is aware of internal monitoring capabilities and may have taken steps to evade detection.</w:t>
      </w:r>
    </w:p>
    <w:p>
      <w:pPr>
        <w:spacing w:before="60" w:after="60"/>
      </w:pPr>
      <w:r>
        <w:rPr>
          <w:rFonts w:ascii="Arial" w:cs="Arial" w:eastAsia="Arial" w:hAnsi="Arial"/>
          <w:sz w:val="22"/>
          <w:szCs w:val="22"/>
        </w:rPr>
        <w:t xml:space="preserve">The investigation must balance the need for thorough evidence collection against the risk of alerting the subject prematurely. HR, legal, and security must operate in coordinated but separate tracks, with strict information controls to prevent leakage within the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1: DETECTION &amp; COVERT TRIAGE</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Day 0 to Day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SOC / DLP</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Receive and validate alert. Do NOT action or escalate via standard channels. Escalate directly and confidentially to CISO and IR Lead only.</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Standard incident tickets may be visible to the subject or their colleagues. Strict need-to-know.</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CISO / IR Lead</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Convene a restricted investigation team: CISO, IR Lead, CLO, HR Director. Establish investigation under legal professional privilege. Create separate secure documentation channel.</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The existence of the investigation must not be disclosed beyond this core team.</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Conduct initial covert review of available telemetry: DLP logs, UEBA alerts, access logs, email headers, endpoint activity for the subject. Do not expand access to systems yet.</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Limit initial review to data already collected passively. Do not take active investigative steps that could be detected.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Legal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Advise on permissible scope of covert monitoring under UK employment law, GDPR (legitimate interest), RIPA, and Computer Misuse Act. Issue formal legal hold on all subject data.</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Employee monitoring must be proportionate and in line with employment contracts and acceptable use policies.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HR Director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Review subject's employment status, notice period, access rights, and any active HR proceedings. Do not initiate any HR process yet.</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Understanding the HR context is critical before deciding investigative approach.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2: COVERT INVESTIGATION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Day 2 to Day 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 / Forensics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Conduct full forensic review of subject's endpoint, cloud storage access, email activity, DLP events, USB connections, and print activity for the full suspected period.</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Maintain forensic integrity — use read-only imaging and verified tooling. Document chain of custody.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7</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Map exfiltration routes: personal cloud storage (OneDrive personal, Google Drive, Dropbox), personal email, USB devices, printing, airdrop, screenshotting.</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Modern insiders use multiple channels. Look for obfuscation: zipping, renaming, encrypting before exfil.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Quantify exfiltrated data: volume, file types, data classification, and where possible, specific files or records. Identify any attempts to cover tracks (log deletion, USB wiping).</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Data volume alone is not sufficient — classification determines regulatory and commercial impact.</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9</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DPO / Legal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Assess whether exfiltrated data includes personal data. If yes, begin ICO 72-hour notification assessment. Note: clock starts from awareness of the breach, not investigation completion.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Document the point at which personal data breach was confirmed vs. suspected.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Legal / HR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Identify any multi-jurisdiction implications: does the subject work across regions? Is data protected by different legal regimes in different countries?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Employment action (suspension, termination) must comply with local law in each affected jurisdiction.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3: ESCALATION &amp; SUSPENSION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Day 14 to Day 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Legal / HR / CISO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Make go/no-go decision on suspension based on strength of evidence and legal advice. Agree approach: covert monitoring vs. immediate suspension.</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Continued covert monitoring requires strong legal basis. Suspension is typically triggered when evidence is sufficient for HR action.</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Prepare for simultaneous account suspension: revoke all access (AD, cloud, email, VPN, building access) at the moment the HR letter is delivered. Do not act early.</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Simultaneous revocation is critical. If the subject receives advance warning they may destroy evidence or accelerate exfiltration.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HR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Deliver suspension letter. At exact same moment, IT revokes all access. Confiscate all company devices at point of delivery.</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Have IT on standby — the revocation instruction is given verbally at the moment of delivery.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Image all confiscated devices immediately under chain of custody. Preserve in tamper-evident packaging. Maintain full forensic log.</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Devices may be required as evidence in employment tribunal or criminal proceedings.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Legal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Notify law enforcement (Action Fraud, Police) if criminal prosecution is being considered. Note: this is a separate decision from the employment process.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Computer Misuse Act 1990 may apply. Consider civil litigation for injunctive relief to prevent onward dissemination.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4: NOTIFICATION &amp; REMEDIATION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Day 21 to Day 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DPO / Legal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File ICO notification if personal data was confirmed exfiltrated. Assess need for data subject notification based on risk to individuals.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Insider breach notifications require careful handling — the subject may be identifiable in public communications.</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17</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Legal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Assess need to notify affected business partners, clients, or regulators if their data or interests are affected. Coordinate timing with HR investigation to avoid prejudice.</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If M&amp;A data was exfiltrated to a competitor, immediate legal injunction may be required.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CISO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Review and tighten DLP policy, UEBA baselines, and offboarding procedures. Revoke access immediately upon notice periods starting, not at departure.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Most insider incidents happen in the notice period. Front-load access revocation.</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19</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HR / CISO</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Review joiners/movers/leavers process. Ensure access reviews are conducted quarterly. Privileged access must require explicit business justification.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6"/>
              <w:left w:val="single" w:color="B7770D" w:sz="6"/>
              <w:bottom w:val="single" w:color="B7770D" w:sz="6"/>
              <w:right w:val="single" w:color="B7770D" w:sz="6"/>
            </w:tcBorders>
            <w:shd w:fill="B7770D"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MULTI-JURISDICTION CHECKLIST</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UK: Data Protection Act 2018, Computer Misuse Act 1990, Employment Rights Act 1996, ACAS Code of Practice.</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EU: GDPR Article 88 (employee data), Works Council consultation requirements (Germany, France, Netherlands).</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US: Wiretap Act, Stored Communications Act, CFAA, state-specific employment laws (California CCPA).</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Each jurisdiction may require local legal counsel — do not assume UK/EU approach applies globally.</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Works council / union notification may be required before monitoring in some European jurisdictions.</w:t>
            </w:r>
          </w:p>
        </w:tc>
      </w:tr>
    </w:tbl>
    <w:p>
      <w:r>
        <w:br w:type="page"/>
      </w:r>
    </w:p>
    <w:p>
      <w:pPr>
        <w:pStyle w:val="Heading1"/>
        <w:pBdr>
          <w:bottom w:val="single" w:color="2E75B6" w:sz="8" w:space="4"/>
        </w:pBdr>
        <w:spacing w:before="480" w:after="200"/>
      </w:pPr>
      <w:r>
        <w:rPr>
          <w:rFonts w:ascii="Arial" w:cs="Arial" w:eastAsia="Arial" w:hAnsi="Arial"/>
          <w:b/>
          <w:bCs/>
          <w:color w:val="1A2A4A"/>
          <w:sz w:val="36"/>
          <w:szCs w:val="36"/>
        </w:rPr>
        <w:t xml:space="preserve">Playbook 4: Nation-State — Persistent Stealthy Network Intrusion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Type</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Advanced Persistent Threat (APT) — nation-state or state-sponsored actor</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Actor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Nation-state groups (e.g. APT29/Cozy Bear, APT41, Sandworm, Volt Typhoon) — espionage or pre-positioning motivation</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Severity</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CRITICAL — P1</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Likely Trigger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Anomalous network behaviour, threat intel notification (NCSC, CISA), internal threat hunt discovery, partner tip-off</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Key Risk</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Long dwell time (months to years), strategic data exfiltration, pre-positioning for future disruption, diplomatic sensitivity, eradicate-vs-monitor dilemma</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Regulations</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NCSC mandatory engagement, CNI sector reporting, government security classifications, potential ITAR/EAR considerations for defence sector</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Playbook Owner</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CISO — with mandatory NCSC engagement and legal oversight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C0392B"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CRITICAL — READ BEFORE RESPONDING</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1. IMMEDIATELY engage NCSC (ncsc.gov.uk/incident) — nation-state incidents have national security implications.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2. Do NOT evict the actor immediately — NCSC and law enforcement may direct you to monitor to gather intelligence.</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3. Strict information compartmentalisation — limit knowledge to smallest possible group, including from IT staff.</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4. Apply government security classifications to all investigation documentation (OFFICIAL-SENSITIVE minimum).</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5. All media, legal, and government communications must be approved by the Incident Commander and legal counsel.</w:t>
            </w:r>
          </w:p>
        </w:tc>
      </w:tr>
    </w:tbl>
    <w:p>
      <w:pPr>
        <w:pStyle w:val="Heading2"/>
        <w:spacing w:before="320" w:after="120"/>
      </w:pPr>
      <w:r>
        <w:rPr>
          <w:rFonts w:ascii="Arial" w:cs="Arial" w:eastAsia="Arial" w:hAnsi="Arial"/>
          <w:b/>
          <w:bCs/>
          <w:color w:val="1565C0"/>
          <w:sz w:val="28"/>
          <w:szCs w:val="28"/>
        </w:rPr>
        <w:t xml:space="preserve">Scenario Description</w:t>
      </w:r>
    </w:p>
    <w:p>
      <w:pPr>
        <w:spacing w:before="60" w:after="60"/>
      </w:pPr>
      <w:r>
        <w:rPr>
          <w:rFonts w:ascii="Arial" w:cs="Arial" w:eastAsia="Arial" w:hAnsi="Arial"/>
          <w:sz w:val="22"/>
          <w:szCs w:val="22"/>
        </w:rPr>
        <w:t xml:space="preserve">A sophisticated nation-state threat actor has maintained persistent, low-profile access across one or more network segments of the organisation. Unlike ransomware, there is no obvious detonation — the actor is conducting long-term reconnaissance, exfiltrating strategic intelligence, or pre-positioning for future disruption. Detection may have occurred via an anomalous network connection, a threat hunt, or an external notification from NCSC or a trusted partner.</w:t>
      </w:r>
    </w:p>
    <w:p>
      <w:pPr>
        <w:spacing w:before="60" w:after="60"/>
      </w:pPr>
      <w:r>
        <w:rPr>
          <w:rFonts w:ascii="Arial" w:cs="Arial" w:eastAsia="Arial" w:hAnsi="Arial"/>
          <w:sz w:val="22"/>
          <w:szCs w:val="22"/>
        </w:rPr>
        <w:t xml:space="preserve">The response posture for a nation-state incident is fundamentally different from criminal ransomware. The primary considerations are: What did they access and for how long? Are they still present? Do we evict or monitor? What are the national security and diplomatic implications? This playbook must be executed with NCSC involvement from the outset.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1: DETECTION &amp; RESTRICTED NOTIFICATION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T+0 to T+4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SOC / Hunt Team</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Validate the indicator triggering suspicion. Assess whether behaviour is consistent with APT tradecraft: living-off-the-land, legitimate tool abuse, slow and low C2, unusual authentication patterns.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APT indicators are subtle. Confirm with threat intel team before escalating — false declaration of nation-state incident has significant consequences.</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 / CISO</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Declare restricted P1 incident. Notify absolute minimum: CISO, CLO, one board member. Do NOT use standard incident management tooling or channels. Stand up secure, air-gapped incident workspace.</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Nation-state actors may have access to your incident management systems. Do not discuss on compromised infrastructure.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CISO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Contact NCSC directly via ncsc.gov.uk/report-an-incident or 0800 587 0434. Provide initial assessment. NCSC will assign an incident manager and provide further direction.</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This is not optional. For CNI, OES, or government entities this is a regulatory requirement. Even for private sector, NCSC engagement is strongly expected.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Legal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Engage specialist national security legal counsel if available. Establish legal privilege over all investigation documentation. Assess classification requirements for documentation.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Standard IR legal support may not be appropriate — national security incidents require specialist advice.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Resist immediate eviction. Consult with NCSC on monitor-vs-evict decision. Covert monitoring of a known APT actor can yield significant intelligence value.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This decision must be taken jointly with NCSC and legal. The operational risk of continued access must be weighed against intelligence 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2: COVERT INVESTIGATION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T+4 hours to T+2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 / Hunt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Conduct comprehensive threat hunt across all segments using IOCs and TTPs provided by NCSC. Map full attack path: initial access, lateral movement, persistence mechanisms, data accessed.</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Use MITRE ATT&amp;CK framework to structure hunt. Focus on techniques, not just IOCs — APTs change indicators regularly.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7</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Determine initial access vector and dwell time. Review all available logs — acknowledge gaps in log retention that may prevent full reconstruction.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Nation-state actors typically have dwell times of 200+ days. Log retention of 90 days may not capture initial access.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Forensics / BU</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Map all data potentially accessed: identify highest-value targets (R&amp;D, M&amp;A, executive communications, government contracts, operational technology access).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Attribution helps identify what the actor was targeting. APT29 targets government/diplomatic data; APT41 targets IP and financial data.</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9</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NCSC Liaison</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Share all technical findings with NCSC under their secure sharing framework. Receive attribution assessment and additional IOCs. Follow NCSC direction on timing of eviction.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NCSC may share intelligence with partner agencies (GCHQ, Five Eyes). Ensure legal and board are aware of intelligence sharing.</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Maintain compartmentalisation. Brief only those with strict need-to-know. Do not include the actor's known presence in standard IT communications or status updates.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Any leakage of the investigation may cause the actor to accelerate exfiltration, destroy evidence, or deploy a destructive payload.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3: CONTROLLED EVICTION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T+2 to T+4 weeks — timing directed by NCSC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 / NCSC</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Agree eviction timing and approach with NCSC. Plan a simultaneous, comprehensive eviction across all identified footholds — partial eviction allows re-entry via remaining access.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Nation-state actors have backup access paths. Partial eviction is worse than no eviction.</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 / Identity</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Execute eviction plan: remove all persistence mechanisms, reset all affected credentials, patch all exploited vulnerabilities, block all identified C2 infrastructure simultaneously.</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Simultaneous execution is critical — coordinate across all regions and segments with a single go-command.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SOC / Hunt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Monitor intensively for 72 hours post-eviction for signs of re-entry via alternative access paths or newly deployed persistence mechanisms.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Expect the actor to attempt re-entry. Ensure detection capability is at maximum sensitivity.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DPO / Legal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Assess personal data breach notification obligations. National security considerations may affect timing and content of ICO notification — seek legal and NCSC guidance.</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NCSC may advise delay in certain regulatory notifications for national security reasons — document this advice.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4: NOTIFICATION &amp; HARDENING</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T+4 to T+8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Legal / CISO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File regulatory notifications (ICO, sector CA) with NCSC guidance on content. Coordinate any public communications with NCSC — they may wish to publish a joint advisory.</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Do not make public statements attributing the attack to a specific nation-state without government authorisation.</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16</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CISO</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Implement structural hardening: network segmentation review, privileged access overhaul, enhanced monitoring, zero trust architecture roadmap.</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Nation-state actors will return. The goal is to make re-entry significantly harder and detection faster.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PIR with NCSC participation where possible. Document lessons for national threat intelligence sharing. Update detection rules with actor-specific TTPs.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6"/>
              <w:left w:val="single" w:color="B7770D" w:sz="6"/>
              <w:bottom w:val="single" w:color="B7770D" w:sz="6"/>
              <w:right w:val="single" w:color="B7770D" w:sz="6"/>
            </w:tcBorders>
            <w:shd w:fill="B7770D"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MONITOR vs. EVICT — DECISION FRAMEWORK</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MONITOR if: Intelligence gain is high, operational risk of continued access is manageable, NCSC supports, legal basis is established.</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EVICT if: Actor has access to safety-critical systems, destructive payload deployment is imminent, operational risk is unacceptable, monitoring is no longer yielding intelligence.</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This decision is not yours alone — NCSC must be consulted and their direction followed.</w:t>
            </w:r>
          </w:p>
        </w:tc>
      </w:tr>
      <w:tr>
        <w:tc>
          <w:tcPr>
            <w:tcW w:type="dxa" w:w="9360"/>
            <w:tcBorders>
              <w:top w:val="single" w:color="B7770D" w:sz="4"/>
              <w:left w:val="single" w:color="B7770D" w:sz="4"/>
              <w:bottom w:val="single" w:color="B7770D" w:sz="4"/>
              <w:right w:val="single" w:color="B7770D" w:sz="4"/>
            </w:tcBorders>
            <w:shd w:fill="FEF9E7" w:val="clear"/>
            <w:tcMar>
              <w:top w:type="dxa" w:w="60"/>
              <w:left w:type="dxa" w:w="140"/>
              <w:bottom w:type="dxa" w:w="60"/>
              <w:right w:type="dxa" w:w="140"/>
            </w:tcMar>
          </w:tcPr>
          <w:p>
            <w:pPr>
              <w:spacing w:before="20" w:after="20"/>
            </w:pPr>
            <w:r>
              <w:rPr>
                <w:rFonts w:ascii="Arial" w:cs="Arial" w:eastAsia="Arial" w:hAnsi="Arial"/>
                <w:sz w:val="21"/>
                <w:szCs w:val="21"/>
              </w:rPr>
              <w:t xml:space="preserve">Document the decision rationale comprehensively. It will be scrutinised post-incident.</w:t>
            </w:r>
          </w:p>
        </w:tc>
      </w:tr>
    </w:tbl>
    <w:p>
      <w:r>
        <w:br w:type="page"/>
      </w:r>
    </w:p>
    <w:p>
      <w:pPr>
        <w:pStyle w:val="Heading1"/>
        <w:pBdr>
          <w:bottom w:val="single" w:color="2E75B6" w:sz="8" w:space="4"/>
        </w:pBdr>
        <w:spacing w:before="480" w:after="200"/>
      </w:pPr>
      <w:r>
        <w:rPr>
          <w:rFonts w:ascii="Arial" w:cs="Arial" w:eastAsia="Arial" w:hAnsi="Arial"/>
          <w:b/>
          <w:bCs/>
          <w:color w:val="1A2A4A"/>
          <w:sz w:val="36"/>
          <w:szCs w:val="36"/>
        </w:rPr>
        <w:t xml:space="preserve">Playbook 5: OT/ICS Attack — Operational &amp; Safety System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Type</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Cyber-physical attack — IT/OT pivot targeting industrial control systems, SCADA, or safety-critical infrastructure</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Threat Actor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Nation-state (Sandworm, Volt Typhoon, XENOTIME) or sophisticated criminal group with OT capability</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Severity</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CRITICAL — P1 with potential physical safety implications</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Likely Trigger</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OT monitoring alert, process anomaly, engineer reports unexpected HMI behaviour, safety system alarm, production stoppage with no operational cause</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Key Risk</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Physical harm to personnel, environmental incident, production shutdown, safety system compromise, regulatory enforcement, reputational damage</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Regulations</w:t>
            </w:r>
          </w:p>
        </w:tc>
        <w:tc>
          <w:tcPr>
            <w:tcW w:type="dxa" w:w="7160"/>
            <w:tcBorders>
              <w:top w:val="single" w:color="2E75B6" w:sz="4"/>
              <w:left w:val="single" w:color="2E75B6" w:sz="4"/>
              <w:bottom w:val="single" w:color="2E75B6" w:sz="4"/>
              <w:right w:val="single" w:color="2E75B6" w:sz="4"/>
            </w:tcBorders>
            <w:shd w:fill="EEF5FB" w:val="clear"/>
            <w:tcMar>
              <w:top w:type="dxa" w:w="80"/>
              <w:left w:type="dxa" w:w="120"/>
              <w:bottom w:type="dxa" w:w="80"/>
              <w:right w:type="dxa" w:w="120"/>
            </w:tcMar>
          </w:tcPr>
          <w:p>
            <w:pPr>
              <w:spacing w:before="0" w:after="0"/>
            </w:pPr>
            <w:r>
              <w:rPr>
                <w:rFonts w:ascii="Arial" w:cs="Arial" w:eastAsia="Arial" w:hAnsi="Arial"/>
                <w:sz w:val="20"/>
                <w:szCs w:val="20"/>
              </w:rPr>
              <w:t xml:space="preserve">Health &amp; Safety at Work Act 1974, COMAH Regulations, NIS Regulations (OES), CAF reporting, sector-specific safety regulator (ONR, ORR, EA, HSE)</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before="0" w:after="0"/>
            </w:pPr>
            <w:r>
              <w:rPr>
                <w:rFonts w:ascii="Arial" w:cs="Arial" w:eastAsia="Arial" w:hAnsi="Arial"/>
                <w:b/>
                <w:bCs/>
                <w:color w:val="1A2A4A"/>
                <w:sz w:val="20"/>
                <w:szCs w:val="20"/>
              </w:rPr>
              <w:t xml:space="preserve">Playbook Owner</w:t>
            </w:r>
          </w:p>
        </w:tc>
        <w:tc>
          <w:tcPr>
            <w:tcW w:type="dxa" w:w="716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CISO jointly with OT Engineering Director and HSE/Safety Officer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C0392B"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CRITICAL — READ BEFORE RESPONDING</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1. SAFETY FIRST. Do not apply standard IT containment (reboot, network isolation) to OT systems without OT engineering sign-off.</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2. Rebooting a PLC or DCS without engineering approval can cause physical damage or create safety hazards.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3. Involve OT Engineering Lead from the first moment — cyber responders must not act unilaterally on OT systems.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4. Consider whether the physical process needs to be manually controlled, paused, or shut down safely.</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5. Notify HSE/Safety Officer and relevant sector regulator immediately if safety systems are involved.</w:t>
            </w:r>
          </w:p>
        </w:tc>
      </w:tr>
    </w:tbl>
    <w:p>
      <w:pPr>
        <w:pStyle w:val="Heading2"/>
        <w:spacing w:before="320" w:after="120"/>
      </w:pPr>
      <w:r>
        <w:rPr>
          <w:rFonts w:ascii="Arial" w:cs="Arial" w:eastAsia="Arial" w:hAnsi="Arial"/>
          <w:b/>
          <w:bCs/>
          <w:color w:val="1565C0"/>
          <w:sz w:val="28"/>
          <w:szCs w:val="28"/>
        </w:rPr>
        <w:t xml:space="preserve">Scenario Description</w:t>
      </w:r>
    </w:p>
    <w:p>
      <w:pPr>
        <w:spacing w:before="60" w:after="60"/>
      </w:pPr>
      <w:r>
        <w:rPr>
          <w:rFonts w:ascii="Arial" w:cs="Arial" w:eastAsia="Arial" w:hAnsi="Arial"/>
          <w:sz w:val="22"/>
          <w:szCs w:val="22"/>
        </w:rPr>
        <w:t xml:space="preserve">A threat actor has pivoted from the corporate IT network into the OT/ICS environment, or has directly targeted operational technology via an internet-facing OT system or compromised vendor remote access. Anomalous behaviour has been detected in the process control network — unexpected HMI connections, modified PLC logic, unusual SCADA commands, or safety system manipulation. One or more production processes may have been affected.</w:t>
      </w:r>
    </w:p>
    <w:p>
      <w:pPr>
        <w:spacing w:before="60" w:after="60"/>
      </w:pPr>
      <w:r>
        <w:rPr>
          <w:rFonts w:ascii="Arial" w:cs="Arial" w:eastAsia="Arial" w:hAnsi="Arial"/>
          <w:sz w:val="22"/>
          <w:szCs w:val="22"/>
        </w:rPr>
        <w:t xml:space="preserve">This incident type requires a fundamentally different response posture. The safety of personnel, the public, and the environment takes absolute precedence over cyber containment. Every action in the OT environment must be approved by OT engineering before execution. The response team must include both cyber and operational technology expertise working in close coordination.</w:t>
      </w:r>
    </w:p>
    <w:p>
      <w:pPr>
        <w:pStyle w:val="Heading2"/>
        <w:spacing w:before="320" w:after="120"/>
      </w:pPr>
      <w:r>
        <w:rPr>
          <w:rFonts w:ascii="Arial" w:cs="Arial" w:eastAsia="Arial" w:hAnsi="Arial"/>
          <w:b/>
          <w:bCs/>
          <w:color w:val="1565C0"/>
          <w:sz w:val="28"/>
          <w:szCs w:val="28"/>
        </w:rPr>
        <w:t xml:space="preserve">OT/IT 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60"/>
              <w:right w:type="dxa" w:w="140"/>
            </w:tcMar>
          </w:tcPr>
          <w:p>
            <w:pPr>
              <w:spacing w:before="0" w:after="0"/>
            </w:pPr>
            <w:r>
              <w:rPr>
                <w:rFonts w:ascii="Arial" w:cs="Arial" w:eastAsia="Arial" w:hAnsi="Arial"/>
                <w:b/>
                <w:bCs/>
                <w:color w:val="1A2A4A"/>
                <w:sz w:val="20"/>
                <w:szCs w:val="20"/>
              </w:rPr>
              <w:t xml:space="preserve">TWO-TRACK RESPONSE MODEL</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IT TRACK (IR Lead): Identify the IT/OT pivot point, contain the IT-side breach, analyse attacker tooling and TTPs, coordinate with SOC.</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OT TRACK (OT Engineering Lead): Assess process safety, validate PLC/DCS integrity, implement OT-side controls, coordinate with operations.</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JOINT DECISIONS: Any action affecting OT systems requires sign-off from BOTH track leads and the Safety Officer.</w:t>
            </w:r>
          </w:p>
        </w:tc>
      </w:tr>
      <w:tr>
        <w:tc>
          <w:tcPr>
            <w:tcW w:type="dxa" w:w="9360"/>
            <w:tcBorders>
              <w:top w:val="single" w:color="2E75B6" w:sz="4"/>
              <w:left w:val="single" w:color="2E75B6" w:sz="4"/>
              <w:bottom w:val="single" w:color="2E75B6" w:sz="4"/>
              <w:right w:val="single" w:color="2E75B6" w:sz="4"/>
            </w:tcBorders>
            <w:shd w:fill="EEF5FB" w:val="clear"/>
            <w:tcMar>
              <w:top w:type="dxa" w:w="60"/>
              <w:left w:type="dxa" w:w="140"/>
              <w:bottom w:type="dxa" w:w="60"/>
              <w:right w:type="dxa" w:w="140"/>
            </w:tcMar>
          </w:tcPr>
          <w:p>
            <w:pPr>
              <w:spacing w:before="20" w:after="20"/>
            </w:pPr>
            <w:r>
              <w:rPr>
                <w:rFonts w:ascii="Arial" w:cs="Arial" w:eastAsia="Arial" w:hAnsi="Arial"/>
                <w:sz w:val="21"/>
                <w:szCs w:val="21"/>
              </w:rPr>
              <w:t xml:space="preserve">Do not allow either track to act unilaterally on the other's domain.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1: DETECTION &amp; SAFETY ASSESSMENT</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T+0 to T+30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OT Monitoring / SOC</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Receive and validate OT alert. Immediately notify OT Engineering Lead and Safety Officer in parallel with IR Lead. Do not wait for IT confirmation.</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OT alerts have a higher safety priority than IT alerts. Treat as credible until proven otherwise.</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Safety Officer</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IMMEDIATE safety assessment: Are personnel at risk? Is the physical process in a safe state? Is automatic safety system response active and functioning?</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If safety systems have been compromised or are responding unexpectedly, initiate emergency manual shutdown procedure.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Assess current state of all affected processes. Determine whether it is safe to continue operations under manual control or whether processes must be safely shut down.</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The decision to continue or shut down production is made by OT Engineering — not the cyber team.</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Declare P1. Engage external OT-specialist forensics if available. Notify CISO, board, and legal. Do NOT take containment action on OT systems without OT Engineering approval.</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Engage NCSC for OT incidents — they have OT-specific support capability.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Identify which OT systems are showing anomalous behaviour. Physically inspect engineering workstations, HMI terminals, and field devices if safe to do so.</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Physical inspection is often required — cyber tools do not always have visibility into OT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2: CONTAINMENT — OT ENVIRONMENT</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T+30 minutes to T+4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IT Ops / Network</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Identify and block the IT/OT pivot point: the specific system, account, or connection used to cross from IT to OT network. Isolate at the IT/OT demarcation firewall.</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Isolate the IT side of the boundary — do not touch OT-side networking without OT Engineering approval.</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7</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Revoke all third-party and vendor remote access to OT systems immediately. Disable all remote desktop connections to engineering workstations.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Vendor remote access is a frequent pivot point into OT. All vendor sessions must be terminated.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Validate integrity of safety systems: Safety Instrumented Systems (SIS), Emergency Shutdown (ESD), and Safety PLCs. Confirm they are operating as designed.</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XENOTIME/Triton malware specifically targets SIS. Any SIS anomaly must be treated as attempted safety system compromise.</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9</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Compare current PLC/DCS ladder logic and configuration against verified backups. Identify any unauthorised modifications to control logic or setpoints.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Logic comparison requires offline reference copies. If no baselines exist, this is a critical remediation action post-incident.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IR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Capture network traffic and OT historian data for forensic analysis. Identify attacker tooling: Industroyer, Triton, BlackEnergy, or bespoke OT-targeting malware.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OT forensics requires specialist tooling — standard EDR does not run on most OT devices.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3: ASSESSMENT &amp; NOTIFICATION</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T+2 to T+24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Safety Officer / HSE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Notify HSE (Health &amp; Safety Executive) or relevant sector safety regulator (ONR for nuclear, ORR for rail, EA for environment) if safety systems were affected or if there is potential for reportable incident.</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RIDDOR reporting obligations may apply if physical harm occurred or was narrowly avoided.</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CISO / Legal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Notify NCSC, sector Competent Authority (for NIS OES), and relevant CNI sector regulator. For energy sector: Ofgem and BEIS. For water: Ofwat and DEFRA.</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NIS Regulations require significant incident notification. CAF-assessed organisations have specific reporting obligations.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Conduct full OT asset inventory of affected zones. Determine which assets are confirmed compromised, potentially compromised, or clean. Create segmentation map.</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OT asset inventories are frequently out of date. This may be the first time a complete inventory exists.</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14</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Comms</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Prepare communications for: employees, operational partners, customers (if production is impacted), and regulators. Coordinate with legal on any public statements.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If production is visibly disrupted, external parties will notice and ask questions. Prepare holding statement.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4: ERADICATION &amp; SAFE RECOVERY</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T+24 hours to T+4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 / Vendor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Engage OT system vendors for each affected platform (SCADA, DCS, PLC). Obtain vendor-validated clean firmware and software images. Do not rebuild from backups that predate the attack without integrity verification.</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Vendor involvement is essential — do not attempt PLC/SCADA recovery without manufacturer guidance.</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16</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Rebuild affected OT systems from vendor-verified clean images. Apply all outstanding firmware patches. Validate all control logic against physical process requirements before restart.</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Each rebuilt system must be tested in offline/simulation environment before reconnection to production process.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Safety Officer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Conduct formal safety validation before process restart: confirm all safety systems are operational, all interlocks are correctly configured, and all setpoints are validated.</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Process restart must be authorised by Safety Officer. Cyber team does not have restart authority.</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18</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 / IT</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Implement or strengthen IT/OT segmentation: verify firewall rules, implement unidirectional data diodes where appropriate, enforce strict remote access controls with MFA.</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The IT/OT boundary is the most critical control. Every remote access path into OT must be documented, justified, and controlled.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2E75B6" w:sz="6"/>
              <w:left w:val="single" w:color="2E75B6" w:sz="6"/>
              <w:bottom w:val="single" w:color="2E75B6" w:sz="6"/>
              <w:right w:val="single" w:color="2E75B6" w:sz="6"/>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PHASE 5: POST-INCIDENT &amp; STRUCTURAL IMPROVEMENT</w:t>
            </w:r>
          </w:p>
        </w:tc>
        <w:tc>
          <w:tcPr>
            <w:tcW w:type="dxa" w:w="2860"/>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vAlign w:val="center"/>
          </w:tcPr>
          <w:p>
            <w:pPr>
              <w:spacing w:before="0" w:after="0"/>
              <w:jc w:val="right"/>
            </w:pPr>
            <w:r>
              <w:rPr>
                <w:rFonts w:ascii="Arial" w:cs="Arial" w:eastAsia="Arial" w:hAnsi="Arial"/>
                <w:b/>
                <w:bCs/>
                <w:color w:val="1A2A4A"/>
                <w:sz w:val="20"/>
                <w:szCs w:val="20"/>
              </w:rPr>
              <w:t xml:space="preserve">T+4 to T+12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160"/>
        <w:gridCol w:w="3100"/>
      </w:tblGrid>
      <w:tr>
        <w:trPr>
          <w:tblHeader/>
        </w:trPr>
        <w:tc>
          <w:tcPr>
            <w:tcW w:type="dxa" w:w="5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w:t>
            </w:r>
          </w:p>
        </w:tc>
        <w:tc>
          <w:tcPr>
            <w:tcW w:type="dxa" w:w="16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Owner / Role</w:t>
            </w:r>
          </w:p>
        </w:tc>
        <w:tc>
          <w:tcPr>
            <w:tcW w:type="dxa" w:w="416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Action</w:t>
            </w:r>
          </w:p>
        </w:tc>
        <w:tc>
          <w:tcPr>
            <w:tcW w:type="dxa" w:w="3100"/>
            <w:tcBorders>
              <w:top w:val="single" w:color="1A2A4A" w:sz="6"/>
              <w:left w:val="single" w:color="1A2A4A" w:sz="6"/>
              <w:bottom w:val="single" w:color="1A2A4A" w:sz="6"/>
              <w:right w:val="single" w:color="1A2A4A" w:sz="6"/>
            </w:tcBorders>
            <w:shd w:fill="1A2A4A" w:val="clear"/>
            <w:tcMar>
              <w:top w:type="dxa" w:w="80"/>
              <w:left w:type="dxa" w:w="100"/>
              <w:bottom w:type="dxa" w:w="80"/>
              <w:right w:type="dxa" w:w="100"/>
            </w:tcMar>
          </w:tcPr>
          <w:p>
            <w:pPr>
              <w:spacing w:before="0" w:after="0"/>
            </w:pPr>
            <w:r>
              <w:rPr>
                <w:rFonts w:ascii="Arial" w:cs="Arial" w:eastAsia="Arial" w:hAnsi="Arial"/>
                <w:b/>
                <w:bCs/>
                <w:color w:val="FFFFFF"/>
                <w:sz w:val="20"/>
                <w:szCs w:val="20"/>
              </w:rPr>
              <w:t xml:space="preserve">Notes / Decision Points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19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CISO / OT Lead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PIR with both IT and OT teams, safety officer, operations director, and NCSC representative. Focus on: pivot point, OT detection gap, IT/OT boundary weakness, safety system resilience.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20</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OT Engineering</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Implement OT asset baseline programme: document all OT assets, firmware versions, and control logic. Establish integrity monitoring for all critical OT systems.</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You cannot detect OT compromise if you do not know what normal looks like.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b/>
                <w:bCs/>
                <w:sz w:val="20"/>
                <w:szCs w:val="20"/>
              </w:rPr>
              <w:t xml:space="preserve">CISO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sz w:val="20"/>
                <w:szCs w:val="20"/>
              </w:rPr>
              <w:t xml:space="preserve">Implement OT-specific monitoring tooling (Claroty, Dragos, Nozomi). Deploy MITRE ATT&amp;CK for ICS detection logic. Integrate OT monitoring into SOC processes.</w:t>
            </w:r>
          </w:p>
        </w:tc>
        <w:tc>
          <w:tcPr>
            <w:tcW w:type="dxa" w:w="3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OT environments require purpose-built monitoring — IT tools are not OT-safe.</w:t>
            </w:r>
          </w:p>
        </w:tc>
      </w:tr>
      <w:tr>
        <w:tc>
          <w:tcPr>
            <w:tcW w:type="dxa" w:w="5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color w:val="1565C0"/>
                <w:sz w:val="20"/>
                <w:szCs w:val="20"/>
              </w:rPr>
              <w:t xml:space="preserve">22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b/>
                <w:bCs/>
                <w:sz w:val="20"/>
                <w:szCs w:val="20"/>
              </w:rPr>
              <w:t xml:space="preserve">All</w:t>
            </w:r>
          </w:p>
        </w:tc>
        <w:tc>
          <w:tcPr>
            <w:tcW w:type="dxa" w:w="416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sz w:val="20"/>
                <w:szCs w:val="20"/>
              </w:rPr>
              <w:t xml:space="preserve">Conduct OT-specific tabletop exercise within 6 months. Include: OT Engineering, Safety, Operations, Cyber, Legal, and regulator participation.</w:t>
            </w:r>
          </w:p>
        </w:tc>
        <w:tc>
          <w:tcPr>
            <w:tcW w:type="dxa" w:w="3100"/>
            <w:tcBorders>
              <w:top w:val="single" w:color="CCCCCC" w:sz="4"/>
              <w:left w:val="single" w:color="CCCCCC" w:sz="4"/>
              <w:bottom w:val="single" w:color="CCCCCC" w:sz="4"/>
              <w:right w:val="single" w:color="CCCCCC" w:sz="4"/>
            </w:tcBorders>
            <w:shd w:fill="F2F3F4" w:val="clear"/>
            <w:tcMar>
              <w:top w:type="dxa" w:w="80"/>
              <w:left w:type="dxa" w:w="100"/>
              <w:bottom w:type="dxa" w:w="80"/>
              <w:right w:type="dxa" w:w="100"/>
            </w:tcMar>
          </w:tcPr>
          <w:p>
            <w:pPr>
              <w:spacing w:before="0" w:after="0"/>
            </w:pPr>
            <w:r>
              <w:rPr>
                <w:rFonts w:ascii="Arial" w:cs="Arial" w:eastAsia="Arial" w:hAnsi="Arial"/>
                <w:color w:val="5D6D7E"/>
                <w:sz w:val="19"/>
                <w:szCs w:val="19"/>
              </w:rPr>
              <w:t xml:space="preserve">OT incident response must be regularly exercised. Regulatory observers may be invited to tabletops.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C0392B" w:val="clear"/>
            <w:tcMar>
              <w:top w:type="dxa" w:w="80"/>
              <w:left w:type="dxa" w:w="140"/>
              <w:bottom w:type="dxa" w:w="60"/>
              <w:right w:type="dxa" w:w="140"/>
            </w:tcMar>
          </w:tcPr>
          <w:p>
            <w:pPr>
              <w:spacing w:before="0" w:after="0"/>
            </w:pPr>
            <w:r>
              <w:rPr>
                <w:rFonts w:ascii="Arial" w:cs="Arial" w:eastAsia="Arial" w:hAnsi="Arial"/>
                <w:b/>
                <w:bCs/>
                <w:color w:val="FFFFFF"/>
                <w:sz w:val="20"/>
                <w:szCs w:val="20"/>
              </w:rPr>
              <w:t xml:space="preserve">OT SAFETY SYSTEM COMPROMISE — INDICATORS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Unexpected changes to safety instrumented system (SIS) logic or setpoints.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Safety PLC firmware version does not match expected baseline.</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Emergency shutdown (ESD) system failing to respond to test commands.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Process running outside normal parameters with no corresponding operator action.</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Engineering workstation connecting to safety systems at unusual times.</w:t>
            </w:r>
          </w:p>
        </w:tc>
      </w:tr>
      <w:tr>
        <w:tc>
          <w:tcPr>
            <w:tcW w:type="dxa" w:w="9360"/>
            <w:tcBorders>
              <w:top w:val="single" w:color="C0392B" w:sz="4"/>
              <w:left w:val="single" w:color="C0392B" w:sz="4"/>
              <w:bottom w:val="single" w:color="C0392B" w:sz="4"/>
              <w:right w:val="single" w:color="C0392B" w:sz="4"/>
            </w:tcBorders>
            <w:shd w:fill="FADBD8" w:val="clear"/>
            <w:tcMar>
              <w:top w:type="dxa" w:w="60"/>
              <w:left w:type="dxa" w:w="140"/>
              <w:bottom w:type="dxa" w:w="60"/>
              <w:right w:type="dxa" w:w="140"/>
            </w:tcMar>
          </w:tcPr>
          <w:p>
            <w:pPr>
              <w:spacing w:before="20" w:after="20"/>
            </w:pPr>
            <w:r>
              <w:rPr>
                <w:rFonts w:ascii="Arial" w:cs="Arial" w:eastAsia="Arial" w:hAnsi="Arial"/>
                <w:sz w:val="21"/>
                <w:szCs w:val="21"/>
              </w:rPr>
              <w:t xml:space="preserve">If any of the above are observed: immediately invoke manual safety procedures and notify Safety Officer.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after="0"/>
    </w:pPr>
    <w:r>
      <w:rPr>
        <w:rFonts w:ascii="Arial" w:cs="Arial" w:eastAsia="Arial" w:hAnsi="Arial"/>
        <w:i/>
        <w:iCs/>
        <w:color w:val="5D6D7E"/>
        <w:sz w:val="16"/>
        <w:szCs w:val="16"/>
      </w:rPr>
      <w:t xml:space="preserve">Proof of concept — not for operational use without review and approval</w:t>
    </w:r>
    <w:r>
      <w:rPr>
        <w:rFonts w:ascii="Arial" w:cs="Arial" w:eastAsia="Arial" w:hAnsi="Arial"/>
      </w:rPr>
      <w:t xml:space="preserve">	</w:t>
    </w:r>
    <w:r>
      <w:rPr>
        <w:rFonts w:ascii="Arial" w:cs="Arial" w:eastAsia="Arial" w:hAnsi="Arial"/>
        <w:color w:val="5D6D7E"/>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80"/>
    </w:pPr>
    <w:r>
      <w:rPr>
        <w:rFonts w:ascii="Arial" w:cs="Arial" w:eastAsia="Arial" w:hAnsi="Arial"/>
        <w:color w:val="5D6D7E"/>
        <w:sz w:val="16"/>
        <w:szCs w:val="16"/>
      </w:rPr>
      <w:t xml:space="preserve">INCIDENT RESPONSE PLAYBOOK SUITE</w:t>
    </w:r>
    <w:r>
      <w:rPr>
        <w:rFonts w:ascii="Arial" w:cs="Arial" w:eastAsia="Arial" w:hAnsi="Arial"/>
      </w:rPr>
      <w:t xml:space="preserve">	</w:t>
    </w:r>
    <w:r>
      <w:rPr>
        <w:rFonts w:ascii="Arial" w:cs="Arial" w:eastAsia="Arial" w:hAnsi="Arial"/>
        <w:b/>
        <w:bCs/>
        <w:color w:val="C0392B"/>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2026-03-12T10:37:26.211Z</dcterms:created>
  <dcterms:modified xsi:type="dcterms:W3CDTF">2026-03-12T10:37:26.265Z</dcterms:modified>
</cp:coreProperties>
</file>

<file path=docProps/custom.xml><?xml version="1.0" encoding="utf-8"?>
<Properties xmlns="http://schemas.openxmlformats.org/officeDocument/2006/custom-properties" xmlns:vt="http://schemas.openxmlformats.org/officeDocument/2006/docPropsVTypes"/>
</file>