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StrongEmphasis"/>
            <w:b/>
            <w:color w:val="000000"/>
            <w:sz w:val="18"/>
            <w:szCs w:val="18"/>
          </w:rPr>
          <w:t>https://archive.ics.uci.edu/ml/datasets/Breast+Tissue</w:t>
        </w:r>
      </w:hyperlink>
    </w:p>
    <w:p>
      <w:pPr>
        <w:pStyle w:val="Normal"/>
        <w:rPr>
          <w:rStyle w:val="StrongEmphasis"/>
          <w:b/>
          <w:b/>
          <w:color w:val="000000"/>
          <w:sz w:val="18"/>
          <w:szCs w:val="18"/>
        </w:rPr>
      </w:pPr>
      <w:r>
        <w:rPr/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33"/>
        <w:gridCol w:w="139"/>
      </w:tblGrid>
      <w:tr>
        <w:trPr/>
        <w:tc>
          <w:tcPr>
            <w:tcW w:w="983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rFonts w:ascii="Arial;Helvetica;sans-serif" w:hAnsi="Arial;Helvetica;sans-serif"/>
                <w:b/>
                <w:color w:val="000000"/>
                <w:sz w:val="40"/>
              </w:rPr>
              <w:t>Breast Tissue Data Set</w:t>
            </w:r>
            <w:r>
              <w:rPr>
                <w:color w:val="000000"/>
              </w:rPr>
              <w:t> </w:t>
              <w:br/>
            </w:r>
            <w:r>
              <w:rPr>
                <w:rFonts w:ascii="Arial;Helvetica;sans-serif" w:hAnsi="Arial;Helvetica;sans-serif"/>
                <w:i/>
                <w:color w:val="000000"/>
                <w:sz w:val="28"/>
              </w:rPr>
              <w:t>Download</w:t>
            </w:r>
            <w:r>
              <w:rPr>
                <w:rFonts w:ascii="Arial;Helvetica;sans-serif" w:hAnsi="Arial;Helvetica;sans-serif"/>
                <w:color w:val="000000"/>
                <w:sz w:val="20"/>
              </w:rPr>
              <w:t>: </w:t>
            </w:r>
            <w:hyperlink r:id="rId3">
              <w:r>
                <w:rPr>
                  <w:rStyle w:val="InternetLink"/>
                  <w:rFonts w:ascii="Arial;Helvetica;sans-serif" w:hAnsi="Arial;Helvetica;sans-serif"/>
                  <w:color w:val="000000"/>
                  <w:sz w:val="28"/>
                  <w:highlight w:val="yellow"/>
                </w:rPr>
                <w:t>Data Folder</w:t>
              </w:r>
            </w:hyperlink>
            <w:r>
              <w:rPr>
                <w:rFonts w:ascii="Arial;Helvetica;sans-serif" w:hAnsi="Arial;Helvetica;sans-serif"/>
                <w:color w:val="000000"/>
                <w:sz w:val="20"/>
              </w:rPr>
              <w:t>, </w:t>
            </w:r>
            <w:hyperlink r:id="rId4">
              <w:r>
                <w:rPr>
                  <w:rStyle w:val="InternetLink"/>
                  <w:rFonts w:ascii="Arial;Helvetica;sans-serif" w:hAnsi="Arial;Helvetica;sans-serif"/>
                  <w:color w:val="000000"/>
                  <w:sz w:val="28"/>
                  <w:highlight w:val="yellow"/>
                </w:rPr>
                <w:t>Data Set Description</w:t>
              </w:r>
            </w:hyperlink>
          </w:p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Abstract</w:t>
            </w:r>
            <w:r>
              <w:rPr>
                <w:rFonts w:ascii="Arial;Helvetica;sans-serif" w:hAnsi="Arial;Helvetica;sans-serif"/>
                <w:color w:val="000000"/>
                <w:sz w:val="20"/>
              </w:rPr>
              <w:t>: Dataset with electrical impedance measurements of freshly excised tissue samples from the breast.</w:t>
            </w:r>
          </w:p>
        </w:tc>
        <w:tc>
          <w:tcPr>
            <w:tcW w:w="139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4"/>
                <w:szCs w:val="4"/>
              </w:rPr>
            </w:r>
          </w:p>
        </w:tc>
      </w:tr>
    </w:tbl>
    <w:tbl>
      <w:tblPr>
        <w:tblW w:w="9972" w:type="dxa"/>
        <w:jc w:val="left"/>
        <w:tblInd w:w="72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72" w:type="dxa"/>
          <w:left w:w="71" w:type="dxa"/>
          <w:bottom w:w="72" w:type="dxa"/>
          <w:right w:w="72" w:type="dxa"/>
        </w:tblCellMar>
      </w:tblPr>
      <w:tblGrid>
        <w:gridCol w:w="2610"/>
        <w:gridCol w:w="1364"/>
        <w:gridCol w:w="2173"/>
        <w:gridCol w:w="523"/>
        <w:gridCol w:w="2084"/>
        <w:gridCol w:w="1218"/>
      </w:tblGrid>
      <w:tr>
        <w:trPr/>
        <w:tc>
          <w:tcPr>
            <w:tcW w:w="26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Data Set Characteristics:  </w:t>
            </w:r>
          </w:p>
        </w:tc>
        <w:tc>
          <w:tcPr>
            <w:tcW w:w="136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Multivariate</w:t>
            </w:r>
          </w:p>
        </w:tc>
        <w:tc>
          <w:tcPr>
            <w:tcW w:w="217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Number of Instances:</w:t>
            </w:r>
          </w:p>
        </w:tc>
        <w:tc>
          <w:tcPr>
            <w:tcW w:w="5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106</w:t>
            </w:r>
          </w:p>
        </w:tc>
        <w:tc>
          <w:tcPr>
            <w:tcW w:w="208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Area:</w:t>
            </w:r>
          </w:p>
        </w:tc>
        <w:tc>
          <w:tcPr>
            <w:tcW w:w="12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Life</w:t>
            </w:r>
          </w:p>
        </w:tc>
      </w:tr>
      <w:tr>
        <w:trPr/>
        <w:tc>
          <w:tcPr>
            <w:tcW w:w="2610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Attribute Characteristics:</w:t>
            </w:r>
          </w:p>
        </w:tc>
        <w:tc>
          <w:tcPr>
            <w:tcW w:w="136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Real</w:t>
            </w:r>
          </w:p>
        </w:tc>
        <w:tc>
          <w:tcPr>
            <w:tcW w:w="217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Number of Attributes:</w:t>
            </w:r>
          </w:p>
        </w:tc>
        <w:tc>
          <w:tcPr>
            <w:tcW w:w="52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10</w:t>
            </w:r>
          </w:p>
        </w:tc>
        <w:tc>
          <w:tcPr>
            <w:tcW w:w="208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Date Donated</w:t>
            </w:r>
          </w:p>
        </w:tc>
        <w:tc>
          <w:tcPr>
            <w:tcW w:w="12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2010-05-10</w:t>
            </w:r>
          </w:p>
        </w:tc>
      </w:tr>
      <w:tr>
        <w:trPr/>
        <w:tc>
          <w:tcPr>
            <w:tcW w:w="2610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Associated Tasks:</w:t>
            </w:r>
          </w:p>
        </w:tc>
        <w:tc>
          <w:tcPr>
            <w:tcW w:w="136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Classification</w:t>
            </w:r>
          </w:p>
        </w:tc>
        <w:tc>
          <w:tcPr>
            <w:tcW w:w="217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Missing Values?</w:t>
            </w:r>
          </w:p>
        </w:tc>
        <w:tc>
          <w:tcPr>
            <w:tcW w:w="52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N/A</w:t>
            </w:r>
          </w:p>
        </w:tc>
        <w:tc>
          <w:tcPr>
            <w:tcW w:w="208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20"/>
              </w:rPr>
              <w:t>Number of Web Hits:</w:t>
            </w:r>
          </w:p>
        </w:tc>
        <w:tc>
          <w:tcPr>
            <w:tcW w:w="12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20"/>
              </w:rPr>
            </w:pPr>
            <w:r>
              <w:rPr>
                <w:rFonts w:ascii="Arial;Helvetica;sans-serif" w:hAnsi="Arial;Helvetica;sans-serif"/>
                <w:color w:val="000000"/>
                <w:sz w:val="20"/>
              </w:rPr>
              <w:t>110582</w:t>
            </w:r>
          </w:p>
        </w:tc>
      </w:tr>
    </w:tbl>
    <w:p>
      <w:pPr>
        <w:pStyle w:val="TextBody"/>
        <w:rPr>
          <w:rStyle w:val="StrongEmphasis"/>
          <w:b/>
          <w:b/>
          <w:color w:val="000000"/>
          <w:sz w:val="18"/>
          <w:szCs w:val="18"/>
        </w:rPr>
      </w:pPr>
      <w:r>
        <w:rPr/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8"/>
        </w:rPr>
        <w:t>Source: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JP Marques de Sá, INEB-Instituto de Engenharia Biomédica, Porto, Portugal; e-mail: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u w:val="single"/>
        </w:rPr>
        <w:t>jpmdesa 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0"/>
          <w:u w:val="single"/>
        </w:rPr>
        <w:t>'@'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u w:val="single"/>
        </w:rPr>
        <w:t> gmail.com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</w:t>
        <w:br/>
        <w:t>J Jossinet, inserm, Lyon, France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8"/>
        </w:rPr>
        <w:t>Data Set Information: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Impedance measurements were made at the frequencies: 15.625, 31.25, 62.5, 125, 250, 500, 1000 KHz </w:t>
        <w:br/>
        <w:t>Impedance measurements of freshly excised breast tissue were made at the follwoing frequencies: 15.625, 31.25, 62.5, 125, 250, 500, 1000 KHz. These measurements plotted in the (real, -imaginary) plane constitute the impedance spectrum from where the breast tissue features are computed. </w:t>
        <w:br/>
        <w:t>The dataset can be used for predicting the classification of either the original 6 classes or of 4 classes by merging together the fibro-adenoma, mastopathy and glandular classes whose discrimination is not important (they cannot be accurately discriminated anyway).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8"/>
        </w:rPr>
        <w:t>Attribute Information: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I0 Impedivity (ohm) at zero frequency </w:t>
        <w:br/>
        <w:t>PA500 phase angle at 500 KHz </w:t>
        <w:br/>
        <w:t>HFS high-frequency slope of phase angle </w:t>
        <w:br/>
        <w:t>DA impedance distance between spectral ends </w:t>
        <w:br/>
        <w:t>AREA area under spectrum </w:t>
        <w:br/>
        <w:t>A/DA area normalized by DA </w:t>
        <w:br/>
        <w:t>MAX IP maximum of the spectrum </w:t>
        <w:br/>
        <w:t>DR distance between I0 and real part of the maximum frequency point </w:t>
        <w:br/>
        <w:t>P length of the spectral curve </w:t>
        <w:br/>
        <w:t>Class car(carcinoma), fad (fibro-adenoma), mas (mastopathy), gla (glandular), con (connective), adi (adipose). The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8"/>
        </w:rPr>
        <w:t>Relevant Papers: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Jossinet J (1996) Variability of impedivity in normal and pathological breast tissue. Med. &amp; Biol. Eng. &amp; Comput, 34: 346-350. </w:t>
        <w:br/>
        <w:t>Silva JE, Marques de Sá JP, Jossinet J (2000) Classification of Breast Tissue by Electrical Impedance Spectroscopy. Med &amp; Bio Eng &amp; Computing, 38:26-30.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28"/>
        </w:rPr>
        <w:t>Citation Request:</w:t>
      </w:r>
    </w:p>
    <w:p>
      <w:pPr>
        <w:pStyle w:val="TextBody"/>
        <w:widowControl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Please refer to the Machine Learning Repository's </w:t>
      </w:r>
      <w:hyperlink r:id="rId5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000000"/>
            <w:spacing w:val="0"/>
            <w:sz w:val="20"/>
          </w:rPr>
          <w:t>citation policy</w:t>
        </w:r>
      </w:hyperlink>
    </w:p>
    <w:p>
      <w:pPr>
        <w:pStyle w:val="Normal"/>
        <w:rPr>
          <w:rStyle w:val="StrongEmphasis"/>
          <w:b/>
          <w:b/>
          <w:color w:val="000000"/>
          <w:sz w:val="18"/>
          <w:szCs w:val="1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Lucida Sans Unicode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Lucida Sans Unicode" w:cs="Lohit Devanagari"/>
      <w:b/>
      <w:bCs/>
      <w:sz w:val="48"/>
      <w:szCs w:val="48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Lucida Sans Unicode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Breast+Tissue" TargetMode="External"/><Relationship Id="rId3" Type="http://schemas.openxmlformats.org/officeDocument/2006/relationships/hyperlink" Target="https://archive.ics.uci.edu/ml/machine-learning-databases/00192/" TargetMode="External"/><Relationship Id="rId4" Type="http://schemas.openxmlformats.org/officeDocument/2006/relationships/hyperlink" Target="https://archive.ics.uci.edu/ml/datasets/Breast+Tissue" TargetMode="External"/><Relationship Id="rId5" Type="http://schemas.openxmlformats.org/officeDocument/2006/relationships/hyperlink" Target="https://archive.ics.uci.edu/ml/citation_policy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LibreOffice/5.3.6.1$Linux_X86_64 LibreOffice_project/30$Build-1</Application>
  <Pages>2</Pages>
  <Words>303</Words>
  <Characters>1834</Characters>
  <CharactersWithSpaces>2122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2019-06-03T11:00:31Z</dcterms:created>
  <dc:creator/>
  <dc:description/>
  <dc:language>en-US</dc:language>
  <cp:lastModifiedBy/>
  <cp:lastPrinted>2019-06-14T16:18:01Z</cp:lastPrinted>
  <dcterms:modified xsi:type="dcterms:W3CDTF">2019-06-28T13:56:51Z</dcterms:modified>
  <cp:revision>27</cp:revision>
  <dc:subject/>
  <dc:title/>
</cp:coreProperties>
</file>