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StrongEmphasis"/>
            <w:b/>
            <w:color w:val="000000"/>
            <w:sz w:val="18"/>
            <w:szCs w:val="18"/>
          </w:rPr>
          <w:t>https://archive.ics.uci.edu/ml/datasets/Cardiotocography</w:t>
        </w:r>
      </w:hyperlink>
    </w:p>
    <w:p>
      <w:pPr>
        <w:pStyle w:val="Normal"/>
        <w:rPr>
          <w:rStyle w:val="StrongEmphasis"/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tbl>
      <w:tblPr>
        <w:tblW w:w="9972" w:type="dxa"/>
        <w:jc w:val="left"/>
        <w:tblInd w:w="72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72" w:type="dxa"/>
          <w:left w:w="70" w:type="dxa"/>
          <w:bottom w:w="72" w:type="dxa"/>
          <w:right w:w="72" w:type="dxa"/>
        </w:tblCellMar>
      </w:tblPr>
      <w:tblGrid>
        <w:gridCol w:w="2579"/>
        <w:gridCol w:w="1364"/>
        <w:gridCol w:w="2141"/>
        <w:gridCol w:w="630"/>
        <w:gridCol w:w="2051"/>
        <w:gridCol w:w="1068"/>
        <w:gridCol w:w="138"/>
      </w:tblGrid>
      <w:tr>
        <w:trPr>
          <w:trHeight w:val="540" w:hRule="atLeast"/>
        </w:trPr>
        <w:tc>
          <w:tcPr>
            <w:tcW w:w="9833" w:type="dxa"/>
            <w:gridSpan w:val="6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70" w:type="dxa"/>
            </w:tcMar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Abstract</w:t>
            </w: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: The dataset consists of measurements of fetal heart rate (FHR) and uterine contraction (UC) features on cardiotocograms classified by expert obstetricians.</w:t>
            </w:r>
          </w:p>
        </w:tc>
        <w:tc>
          <w:tcPr>
            <w:tcW w:w="138" w:type="dxa"/>
            <w:tcBorders>
              <w:top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25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Data Set Characteristics:  </w:t>
            </w:r>
          </w:p>
        </w:tc>
        <w:tc>
          <w:tcPr>
            <w:tcW w:w="136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Multivariate</w:t>
            </w:r>
          </w:p>
        </w:tc>
        <w:tc>
          <w:tcPr>
            <w:tcW w:w="214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Number of Instances:</w:t>
            </w:r>
          </w:p>
        </w:tc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2126</w:t>
            </w:r>
          </w:p>
        </w:tc>
        <w:tc>
          <w:tcPr>
            <w:tcW w:w="20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Area:</w:t>
            </w:r>
          </w:p>
        </w:tc>
        <w:tc>
          <w:tcPr>
            <w:tcW w:w="120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Life</w:t>
            </w:r>
          </w:p>
        </w:tc>
      </w:tr>
      <w:tr>
        <w:trPr/>
        <w:tc>
          <w:tcPr>
            <w:tcW w:w="25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Attribute Characteristics:</w:t>
            </w:r>
          </w:p>
        </w:tc>
        <w:tc>
          <w:tcPr>
            <w:tcW w:w="136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Real</w:t>
            </w:r>
          </w:p>
        </w:tc>
        <w:tc>
          <w:tcPr>
            <w:tcW w:w="214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Number of Attributes:</w:t>
            </w:r>
          </w:p>
        </w:tc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Date Donated</w:t>
            </w:r>
          </w:p>
        </w:tc>
        <w:tc>
          <w:tcPr>
            <w:tcW w:w="120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2010-09-07</w:t>
            </w:r>
          </w:p>
        </w:tc>
      </w:tr>
      <w:tr>
        <w:trPr/>
        <w:tc>
          <w:tcPr>
            <w:tcW w:w="257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Associated Tasks:</w:t>
            </w:r>
          </w:p>
        </w:tc>
        <w:tc>
          <w:tcPr>
            <w:tcW w:w="136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Classification</w:t>
            </w:r>
          </w:p>
        </w:tc>
        <w:tc>
          <w:tcPr>
            <w:tcW w:w="214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Missing Values?</w:t>
            </w:r>
          </w:p>
        </w:tc>
        <w:tc>
          <w:tcPr>
            <w:tcW w:w="63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0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DDEEFF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b/>
                <w:b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b/>
                <w:color w:val="000000"/>
                <w:sz w:val="18"/>
                <w:szCs w:val="18"/>
              </w:rPr>
              <w:t>Number of Web Hits:</w:t>
            </w:r>
          </w:p>
        </w:tc>
        <w:tc>
          <w:tcPr>
            <w:tcW w:w="120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TableContents"/>
              <w:spacing w:before="0" w:after="283"/>
              <w:rPr>
                <w:rFonts w:ascii="Arial;Helvetica;sans-serif" w:hAnsi="Arial;Helvetica;sans-serif"/>
                <w:color w:val="000000"/>
                <w:sz w:val="18"/>
                <w:szCs w:val="18"/>
              </w:rPr>
            </w:pPr>
            <w:r>
              <w:rPr>
                <w:rFonts w:ascii="Arial;Helvetica;sans-serif" w:hAnsi="Arial;Helvetica;sans-serif"/>
                <w:color w:val="000000"/>
                <w:sz w:val="18"/>
                <w:szCs w:val="18"/>
              </w:rPr>
              <w:t>142249</w:t>
            </w:r>
          </w:p>
        </w:tc>
      </w:tr>
    </w:tbl>
    <w:p>
      <w:pPr>
        <w:pStyle w:val="TextBody"/>
        <w:widowControl/>
        <w:ind w:left="0" w:right="0" w:hanging="0"/>
        <w:rPr>
          <w:color w:val="000000"/>
          <w:sz w:val="18"/>
          <w:szCs w:val="1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</w:rPr>
        <w:t>Source: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Marques de SÃ¡, J.P.,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jpmdesa 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'@'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 gmail.com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 Biomedical Engineering Institute, Porto, Portugal. </w:t>
        <w:br/>
        <w:t>Bernardes, J.,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joaobern 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'@'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 med.up.pt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 Faculty of Medicine, University of Porto, Portugal. </w:t>
        <w:br/>
        <w:t>Ayres de Campos, D.,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sisporto </w:t>
      </w: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'@'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u w:val="single"/>
        </w:rPr>
        <w:t> med.up.pt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, Faculty of Medicine, University of Porto, Portugal.</w:t>
      </w:r>
    </w:p>
    <w:p>
      <w:pPr>
        <w:pStyle w:val="TextBody"/>
        <w:widowControl/>
        <w:ind w:left="0" w:right="0" w:hanging="0"/>
        <w:rPr>
          <w:color w:val="000000"/>
          <w:sz w:val="18"/>
          <w:szCs w:val="1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</w:rPr>
        <w:t>Data Set Information: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2126 fetal cardiotocograms (CTGs) were automatically processed and the respective diagnostic features measured. The CTGs were also classified by three expert obstetricians and a consensus classification label assigned to each of them. Classification was both with respect to a morphologic pattern (A, B, C. ...) and to a fetal state (N, S, P). Therefore the dataset can be used either for 10-class or 3-class experiments.</w:t>
      </w:r>
    </w:p>
    <w:p>
      <w:pPr>
        <w:pStyle w:val="TextBody"/>
        <w:widowControl/>
        <w:ind w:left="0" w:right="0" w:hanging="0"/>
        <w:rPr>
          <w:color w:val="000000"/>
          <w:sz w:val="18"/>
          <w:szCs w:val="1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</w:rPr>
        <w:t>Attribute Information: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LB - FHR baseline (beats per minute)</w:t>
        <w:br/>
        <w:t>AC - # of accelerations per second</w:t>
        <w:br/>
        <w:t>FM - # of fetal movements per second</w:t>
        <w:br/>
        <w:t>UC - # of uterine contractions per second</w:t>
        <w:br/>
        <w:t>DL - # of light decelerations per second</w:t>
        <w:br/>
        <w:t>DS - # of severe decelerations per second</w:t>
        <w:br/>
        <w:t>DP - # of prolongued decelerations per second</w:t>
        <w:br/>
        <w:t>ASTV - percentage of time with abnormal short term variability</w:t>
        <w:br/>
        <w:t>MSTV - mean value of short term variability</w:t>
        <w:br/>
        <w:t>ALTV - percentage of time with abnormal long term variability</w:t>
        <w:br/>
        <w:t>MLTV - mean value of long term variability</w:t>
        <w:br/>
        <w:t>Width - width of FHR histogram</w:t>
        <w:br/>
        <w:t>Min - minimum of FHR histogram</w:t>
        <w:br/>
        <w:t>Max - Maximum of FHR histogram</w:t>
        <w:br/>
        <w:t>Nmax - # of histogram peaks</w:t>
        <w:br/>
        <w:t>Nzeros - # of histogram zeros</w:t>
        <w:br/>
        <w:t>Mode - histogram mode</w:t>
        <w:br/>
        <w:t>Mean - histogram mean</w:t>
        <w:br/>
        <w:t>Median - histogram median</w:t>
        <w:br/>
        <w:t>Variance - histogram variance</w:t>
        <w:br/>
        <w:t>Tendency - histogram tendency</w:t>
        <w:br/>
        <w:t>CLASS - FHR pattern class code (1 to 10)</w:t>
        <w:br/>
        <w:t>NSP - fetal state class code (N=normal; S=suspect; P=pathologic)</w:t>
      </w:r>
    </w:p>
    <w:p>
      <w:pPr>
        <w:pStyle w:val="TextBody"/>
        <w:widowControl/>
        <w:ind w:left="0" w:right="0" w:hanging="0"/>
        <w:rPr>
          <w:color w:val="000000"/>
          <w:sz w:val="18"/>
          <w:szCs w:val="18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000000"/>
          <w:spacing w:val="0"/>
          <w:sz w:val="18"/>
          <w:szCs w:val="18"/>
        </w:rPr>
        <w:t>Relevant Papers: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Ayres de Campos et al. (2000) SisPorto 2.0 A Program for Automated Analysis of Cardiotocograms. J Matern Fetal Med 5:311-318</w:t>
      </w:r>
      <w:r>
        <w:rPr>
          <w:color w:val="000000"/>
          <w:sz w:val="18"/>
          <w:szCs w:val="18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Lucida Sans Unicode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Lucida Sans Unicode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Lucida Sans Unicode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Cardiotocograph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LibreOffice/5.3.6.1$Linux_X86_64 LibreOffice_project/30$Build-1</Application>
  <Pages>1</Pages>
  <Words>343</Words>
  <Characters>1897</Characters>
  <CharactersWithSpaces>2217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2019-06-03T11:00:31Z</dcterms:created>
  <dc:creator/>
  <dc:description/>
  <dc:language>en-US</dc:language>
  <cp:lastModifiedBy/>
  <cp:lastPrinted>2019-06-14T16:18:01Z</cp:lastPrinted>
  <dcterms:modified xsi:type="dcterms:W3CDTF">2019-06-28T13:30:57Z</dcterms:modified>
  <cp:revision>25</cp:revision>
  <dc:subject/>
  <dc:title/>
</cp:coreProperties>
</file>