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StrongEmphasis"/>
            <w:b/>
          </w:rPr>
          <w:t>https://archive.ics.uci.edu/ml/datasets/Molecular+Biology+%28Splice-junction+Gene+Sequences%29</w:t>
        </w:r>
      </w:hyperlink>
    </w:p>
    <w:p>
      <w:pPr>
        <w:pStyle w:val="Normal"/>
        <w:rPr>
          <w:rStyle w:val="StrongEmphasis"/>
          <w:b/>
        </w:rPr>
      </w:pPr>
      <w:r>
        <w:rPr/>
      </w:r>
    </w:p>
    <w:p>
      <w:pPr>
        <w:pStyle w:val="Normal"/>
        <w:rPr>
          <w:rStyle w:val="StrongEmphasis"/>
          <w:b/>
        </w:rPr>
      </w:pPr>
      <w:r>
        <w:rPr/>
      </w:r>
    </w:p>
    <w:tbl>
      <w:tblPr>
        <w:tblW w:w="9972" w:type="dxa"/>
        <w:jc w:val="left"/>
        <w:tblInd w:w="28" w:type="dxa"/>
        <w:tblBorders/>
        <w:tblCellMar>
          <w:top w:w="28" w:type="dxa"/>
          <w:left w:w="28" w:type="dxa"/>
          <w:bottom w:w="28" w:type="dxa"/>
          <w:right w:w="28" w:type="dxa"/>
        </w:tblCellMar>
      </w:tblPr>
      <w:tblGrid>
        <w:gridCol w:w="7396"/>
        <w:gridCol w:w="2576"/>
      </w:tblGrid>
      <w:tr>
        <w:trPr/>
        <w:tc>
          <w:tcPr>
            <w:tcW w:w="7396" w:type="dxa"/>
            <w:tcBorders/>
            <w:shd w:fill="auto" w:val="clear"/>
          </w:tcPr>
          <w:p>
            <w:pPr>
              <w:pStyle w:val="TableContents"/>
              <w:spacing w:before="0" w:after="283"/>
              <w:rPr/>
            </w:pPr>
            <w:r>
              <w:rPr>
                <w:rFonts w:ascii="Arial;Helvetica;sans-serif" w:hAnsi="Arial;Helvetica;sans-serif"/>
                <w:b/>
                <w:color w:val="123654"/>
                <w:sz w:val="40"/>
              </w:rPr>
              <w:t>Molecular Biology (Splice-junction Gene Sequences) Data Set</w:t>
            </w:r>
            <w:r>
              <w:rPr/>
              <w:t> </w:t>
              <w:br/>
            </w:r>
            <w:r>
              <w:rPr>
                <w:rFonts w:ascii="Arial;Helvetica;sans-serif" w:hAnsi="Arial;Helvetica;sans-serif"/>
                <w:i/>
                <w:color w:val="123654"/>
                <w:sz w:val="28"/>
              </w:rPr>
              <w:t>Download</w:t>
            </w:r>
            <w:r>
              <w:rPr>
                <w:rFonts w:ascii="Arial;Helvetica;sans-serif" w:hAnsi="Arial;Helvetica;sans-serif"/>
                <w:color w:val="123654"/>
                <w:sz w:val="20"/>
              </w:rPr>
              <w:t>: </w:t>
            </w:r>
            <w:hyperlink r:id="rId3">
              <w:r>
                <w:rPr>
                  <w:rStyle w:val="InternetLink"/>
                  <w:rFonts w:ascii="Arial;Helvetica;sans-serif" w:hAnsi="Arial;Helvetica;sans-serif"/>
                  <w:color w:val="123654"/>
                  <w:sz w:val="28"/>
                  <w:highlight w:val="yellow"/>
                </w:rPr>
                <w:t>Data Folder</w:t>
              </w:r>
            </w:hyperlink>
            <w:r>
              <w:rPr>
                <w:rFonts w:ascii="Arial;Helvetica;sans-serif" w:hAnsi="Arial;Helvetica;sans-serif"/>
                <w:color w:val="123654"/>
                <w:sz w:val="20"/>
              </w:rPr>
              <w:t>, </w:t>
            </w:r>
            <w:hyperlink r:id="rId4">
              <w:r>
                <w:rPr>
                  <w:rStyle w:val="InternetLink"/>
                  <w:rFonts w:ascii="Arial;Helvetica;sans-serif" w:hAnsi="Arial;Helvetica;sans-serif"/>
                  <w:color w:val="123654"/>
                  <w:sz w:val="28"/>
                  <w:highlight w:val="yellow"/>
                </w:rPr>
                <w:t>Data Set Description</w:t>
              </w:r>
            </w:hyperlink>
          </w:p>
          <w:p>
            <w:pPr>
              <w:pStyle w:val="TableContents"/>
              <w:spacing w:before="0" w:after="283"/>
              <w:rPr>
                <w:rFonts w:ascii="Arial;Helvetica;sans-serif" w:hAnsi="Arial;Helvetica;sans-serif"/>
                <w:color w:val="123654"/>
                <w:sz w:val="20"/>
              </w:rPr>
            </w:pPr>
            <w:r>
              <w:rPr>
                <w:rFonts w:ascii="Arial;Helvetica;sans-serif" w:hAnsi="Arial;Helvetica;sans-serif"/>
                <w:b/>
                <w:color w:val="123654"/>
                <w:sz w:val="20"/>
              </w:rPr>
              <w:t>Abstract</w:t>
            </w:r>
            <w:r>
              <w:rPr>
                <w:rFonts w:ascii="Arial;Helvetica;sans-serif" w:hAnsi="Arial;Helvetica;sans-serif"/>
                <w:color w:val="123654"/>
                <w:sz w:val="20"/>
              </w:rPr>
              <w:t>: Primate splice-junction gene sequences (DNA) with associated imperfect domain theory</w:t>
            </w:r>
          </w:p>
        </w:tc>
        <w:tc>
          <w:tcPr>
            <w:tcW w:w="2576" w:type="dxa"/>
            <w:tcBorders/>
            <w:shd w:fill="auto" w:val="clear"/>
            <w:vAlign w:val="center"/>
          </w:tcPr>
          <w:p>
            <w:pPr>
              <w:pStyle w:val="TableContents"/>
              <w:rPr/>
            </w:pPr>
            <w:r>
              <w:rPr/>
              <w:drawing>
                <wp:inline distT="76200" distB="76200" distL="152400" distR="152400">
                  <wp:extent cx="1257300" cy="8534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257300" cy="853440"/>
                          </a:xfrm>
                          <a:prstGeom prst="rect">
                            <a:avLst/>
                          </a:prstGeom>
                        </pic:spPr>
                      </pic:pic>
                    </a:graphicData>
                  </a:graphic>
                </wp:inline>
              </w:drawing>
            </w:r>
          </w:p>
        </w:tc>
      </w:tr>
    </w:tbl>
    <w:tbl>
      <w:tblPr>
        <w:tblW w:w="9972" w:type="dxa"/>
        <w:jc w:val="left"/>
        <w:tblInd w:w="72" w:type="dxa"/>
        <w:tblBorders>
          <w:top w:val="double" w:sz="2" w:space="0" w:color="808080"/>
          <w:left w:val="double" w:sz="2" w:space="0" w:color="808080"/>
          <w:bottom w:val="double" w:sz="2" w:space="0" w:color="808080"/>
          <w:insideH w:val="double" w:sz="2" w:space="0" w:color="808080"/>
        </w:tblBorders>
        <w:tblCellMar>
          <w:top w:w="72" w:type="dxa"/>
          <w:left w:w="70" w:type="dxa"/>
          <w:bottom w:w="72" w:type="dxa"/>
          <w:right w:w="72" w:type="dxa"/>
        </w:tblCellMar>
      </w:tblPr>
      <w:tblGrid>
        <w:gridCol w:w="2351"/>
        <w:gridCol w:w="2214"/>
        <w:gridCol w:w="1894"/>
        <w:gridCol w:w="629"/>
        <w:gridCol w:w="1791"/>
        <w:gridCol w:w="1093"/>
      </w:tblGrid>
      <w:tr>
        <w:trPr/>
        <w:tc>
          <w:tcPr>
            <w:tcW w:w="2351" w:type="dxa"/>
            <w:tcBorders>
              <w:top w:val="double" w:sz="2" w:space="0" w:color="808080"/>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Data Set Characteristics:  </w:t>
            </w:r>
          </w:p>
        </w:tc>
        <w:tc>
          <w:tcPr>
            <w:tcW w:w="2214" w:type="dxa"/>
            <w:tcBorders>
              <w:top w:val="double" w:sz="2" w:space="0" w:color="808080"/>
              <w:left w:val="double" w:sz="2" w:space="0" w:color="808080"/>
              <w:bottom w:val="double" w:sz="2" w:space="0" w:color="808080"/>
              <w:insideH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Sequential, Domain-Theory</w:t>
            </w:r>
          </w:p>
        </w:tc>
        <w:tc>
          <w:tcPr>
            <w:tcW w:w="1894" w:type="dxa"/>
            <w:tcBorders>
              <w:top w:val="double" w:sz="2" w:space="0" w:color="808080"/>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Number of Instances:</w:t>
            </w:r>
          </w:p>
        </w:tc>
        <w:tc>
          <w:tcPr>
            <w:tcW w:w="629" w:type="dxa"/>
            <w:tcBorders>
              <w:top w:val="double" w:sz="2" w:space="0" w:color="808080"/>
              <w:left w:val="double" w:sz="2" w:space="0" w:color="808080"/>
              <w:bottom w:val="double" w:sz="2" w:space="0" w:color="808080"/>
              <w:insideH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3190</w:t>
            </w:r>
          </w:p>
        </w:tc>
        <w:tc>
          <w:tcPr>
            <w:tcW w:w="1791" w:type="dxa"/>
            <w:tcBorders>
              <w:top w:val="double" w:sz="2" w:space="0" w:color="808080"/>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Area:</w:t>
            </w:r>
          </w:p>
        </w:tc>
        <w:tc>
          <w:tcPr>
            <w:tcW w:w="109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Life</w:t>
            </w:r>
          </w:p>
        </w:tc>
      </w:tr>
      <w:tr>
        <w:trPr/>
        <w:tc>
          <w:tcPr>
            <w:tcW w:w="2351" w:type="dxa"/>
            <w:tcBorders>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Attribute Characteristics:</w:t>
            </w:r>
          </w:p>
        </w:tc>
        <w:tc>
          <w:tcPr>
            <w:tcW w:w="2214" w:type="dxa"/>
            <w:tcBorders>
              <w:left w:val="double" w:sz="2" w:space="0" w:color="808080"/>
              <w:bottom w:val="double" w:sz="2" w:space="0" w:color="808080"/>
              <w:insideH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Categorical</w:t>
            </w:r>
          </w:p>
        </w:tc>
        <w:tc>
          <w:tcPr>
            <w:tcW w:w="1894" w:type="dxa"/>
            <w:tcBorders>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Number of Attributes:</w:t>
            </w:r>
          </w:p>
        </w:tc>
        <w:tc>
          <w:tcPr>
            <w:tcW w:w="629" w:type="dxa"/>
            <w:tcBorders>
              <w:left w:val="double" w:sz="2" w:space="0" w:color="808080"/>
              <w:bottom w:val="double" w:sz="2" w:space="0" w:color="808080"/>
              <w:insideH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61</w:t>
            </w:r>
          </w:p>
        </w:tc>
        <w:tc>
          <w:tcPr>
            <w:tcW w:w="1791" w:type="dxa"/>
            <w:tcBorders>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Date Donated</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1992-01-01</w:t>
            </w:r>
          </w:p>
        </w:tc>
      </w:tr>
      <w:tr>
        <w:trPr/>
        <w:tc>
          <w:tcPr>
            <w:tcW w:w="2351" w:type="dxa"/>
            <w:tcBorders>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Associated Tasks:</w:t>
            </w:r>
          </w:p>
        </w:tc>
        <w:tc>
          <w:tcPr>
            <w:tcW w:w="2214" w:type="dxa"/>
            <w:tcBorders>
              <w:left w:val="double" w:sz="2" w:space="0" w:color="808080"/>
              <w:bottom w:val="double" w:sz="2" w:space="0" w:color="808080"/>
              <w:insideH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Classification</w:t>
            </w:r>
          </w:p>
        </w:tc>
        <w:tc>
          <w:tcPr>
            <w:tcW w:w="1894" w:type="dxa"/>
            <w:tcBorders>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Missing Values?</w:t>
            </w:r>
          </w:p>
        </w:tc>
        <w:tc>
          <w:tcPr>
            <w:tcW w:w="629" w:type="dxa"/>
            <w:tcBorders>
              <w:left w:val="double" w:sz="2" w:space="0" w:color="808080"/>
              <w:bottom w:val="double" w:sz="2" w:space="0" w:color="808080"/>
              <w:insideH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No</w:t>
            </w:r>
          </w:p>
        </w:tc>
        <w:tc>
          <w:tcPr>
            <w:tcW w:w="1791" w:type="dxa"/>
            <w:tcBorders>
              <w:left w:val="double" w:sz="2" w:space="0" w:color="808080"/>
              <w:bottom w:val="double" w:sz="2" w:space="0" w:color="808080"/>
              <w:insideH w:val="double" w:sz="2" w:space="0" w:color="808080"/>
            </w:tcBorders>
            <w:shd w:fill="DDEEFF" w:val="clear"/>
            <w:tcMar>
              <w:left w:w="70" w:type="dxa"/>
            </w:tcMar>
            <w:vAlign w:val="center"/>
          </w:tcPr>
          <w:p>
            <w:pPr>
              <w:pStyle w:val="TableContents"/>
              <w:spacing w:before="0" w:after="283"/>
              <w:rPr>
                <w:rFonts w:ascii="Arial;Helvetica;sans-serif" w:hAnsi="Arial;Helvetica;sans-serif"/>
                <w:b/>
                <w:color w:val="123654"/>
                <w:sz w:val="20"/>
              </w:rPr>
            </w:pPr>
            <w:r>
              <w:rPr>
                <w:rFonts w:ascii="Arial;Helvetica;sans-serif" w:hAnsi="Arial;Helvetica;sans-serif"/>
                <w:b/>
                <w:color w:val="123654"/>
                <w:sz w:val="20"/>
              </w:rPr>
              <w:t>Number of Web Hits:</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70" w:type="dxa"/>
            </w:tcMar>
            <w:vAlign w:val="center"/>
          </w:tcPr>
          <w:p>
            <w:pPr>
              <w:pStyle w:val="TableContents"/>
              <w:spacing w:before="0" w:after="283"/>
              <w:rPr>
                <w:rFonts w:ascii="Arial;Helvetica;sans-serif" w:hAnsi="Arial;Helvetica;sans-serif"/>
                <w:color w:val="123654"/>
                <w:sz w:val="20"/>
              </w:rPr>
            </w:pPr>
            <w:r>
              <w:rPr>
                <w:rFonts w:ascii="Arial;Helvetica;sans-serif" w:hAnsi="Arial;Helvetica;sans-serif"/>
                <w:color w:val="123654"/>
                <w:sz w:val="20"/>
              </w:rPr>
              <w:t>92086</w:t>
            </w:r>
          </w:p>
        </w:tc>
      </w:tr>
    </w:tbl>
    <w:p>
      <w:pPr>
        <w:pStyle w:val="TextBody"/>
        <w:rPr>
          <w:rStyle w:val="StrongEmphasis"/>
          <w:b/>
        </w:rPr>
      </w:pPr>
      <w:r>
        <w:rPr/>
      </w:r>
    </w:p>
    <w:p>
      <w:pPr>
        <w:pStyle w:val="TextBody"/>
        <w:widowControl/>
        <w:ind w:left="0" w:right="0" w:hanging="0"/>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Source:</w:t>
      </w:r>
    </w:p>
    <w:p>
      <w:pPr>
        <w:pStyle w:val="TextBody"/>
        <w:widowControl/>
        <w:ind w:left="0" w:right="0" w:hanging="0"/>
        <w:rPr>
          <w:rFonts w:ascii="Arial;Helvetica;sans-serif" w:hAnsi="Arial;Helvetica;sans-serif"/>
          <w:b w:val="false"/>
          <w:i w:val="false"/>
          <w:caps w:val="false"/>
          <w:smallCaps w:val="false"/>
          <w:color w:val="123654"/>
          <w:spacing w:val="0"/>
          <w:sz w:val="20"/>
        </w:rPr>
      </w:pPr>
      <w:r>
        <w:rPr>
          <w:rFonts w:ascii="Arial;Helvetica;sans-serif" w:hAnsi="Arial;Helvetica;sans-serif"/>
          <w:b w:val="false"/>
          <w:i w:val="false"/>
          <w:caps w:val="false"/>
          <w:smallCaps w:val="false"/>
          <w:color w:val="123654"/>
          <w:spacing w:val="0"/>
          <w:sz w:val="20"/>
        </w:rPr>
        <w:t>Creators: </w:t>
        <w:br/>
        <w:br/>
        <w:t>1. All examples taken from Genbank 64.1 (ftp site: genbank.bio.net) </w:t>
        <w:br/>
        <w:t>2. Categories "ei" and "ie" include every "split-gene" for primates in Genbank 64.1 </w:t>
        <w:br/>
        <w:t>3. non-splice examples taken from sequences known not to include a splicing site </w:t>
        <w:br/>
        <w:br/>
        <w:t>Donor: </w:t>
        <w:br/>
        <w:br/>
        <w:t>G. Towell, M. Noordewier, and J. Shavlik, </w:t>
        <w:br/>
        <w:t>{towell,shavlik}@cs.wisc.edu, </w:t>
      </w:r>
      <w:r>
        <w:rPr>
          <w:rFonts w:ascii="Arial;Helvetica;sans-serif" w:hAnsi="Arial;Helvetica;sans-serif"/>
          <w:b w:val="false"/>
          <w:i w:val="false"/>
          <w:caps w:val="false"/>
          <w:smallCaps w:val="false"/>
          <w:color w:val="123654"/>
          <w:spacing w:val="0"/>
          <w:sz w:val="20"/>
          <w:u w:val="single"/>
        </w:rPr>
        <w:t>noordewi </w:t>
      </w:r>
      <w:r>
        <w:rPr>
          <w:rFonts w:ascii="Arial;Helvetica;sans-serif" w:hAnsi="Arial;Helvetica;sans-serif"/>
          <w:b/>
          <w:i w:val="false"/>
          <w:caps w:val="false"/>
          <w:smallCaps w:val="false"/>
          <w:color w:val="123654"/>
          <w:spacing w:val="0"/>
          <w:sz w:val="20"/>
          <w:u w:val="single"/>
        </w:rPr>
        <w:t>'@'</w:t>
      </w:r>
      <w:r>
        <w:rPr>
          <w:rFonts w:ascii="Arial;Helvetica;sans-serif" w:hAnsi="Arial;Helvetica;sans-serif"/>
          <w:b w:val="false"/>
          <w:i w:val="false"/>
          <w:caps w:val="false"/>
          <w:smallCaps w:val="false"/>
          <w:color w:val="123654"/>
          <w:spacing w:val="0"/>
          <w:sz w:val="20"/>
          <w:u w:val="single"/>
        </w:rPr>
        <w:t> cs.rutgers.edu</w:t>
      </w:r>
    </w:p>
    <w:p>
      <w:pPr>
        <w:pStyle w:val="TextBody"/>
        <w:rPr/>
      </w:pPr>
      <w:r>
        <w:rPr/>
      </w:r>
    </w:p>
    <w:p>
      <w:pPr>
        <w:pStyle w:val="TextBody"/>
        <w:widowControl/>
        <w:ind w:left="0" w:right="0" w:hanging="0"/>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Data Set Information:</w:t>
      </w:r>
    </w:p>
    <w:p>
      <w:pPr>
        <w:pStyle w:val="TextBody"/>
        <w:widowControl/>
        <w:ind w:left="0" w:right="0" w:hanging="0"/>
        <w:rPr>
          <w:rFonts w:ascii="Arial;Helvetica;sans-serif" w:hAnsi="Arial;Helvetica;sans-serif"/>
          <w:b w:val="false"/>
          <w:i w:val="false"/>
          <w:caps w:val="false"/>
          <w:smallCaps w:val="false"/>
          <w:color w:val="123654"/>
          <w:spacing w:val="0"/>
          <w:sz w:val="20"/>
        </w:rPr>
      </w:pPr>
      <w:r>
        <w:rPr>
          <w:rFonts w:ascii="Arial;Helvetica;sans-serif" w:hAnsi="Arial;Helvetica;sans-serif"/>
          <w:b w:val="false"/>
          <w:i w:val="false"/>
          <w:caps w:val="false"/>
          <w:smallCaps w:val="false"/>
          <w:color w:val="123654"/>
          <w:spacing w:val="0"/>
          <w:sz w:val="20"/>
        </w:rPr>
        <w:t>Problem Description: </w:t>
        <w:br/>
        <w:br/>
        <w:t>Splice junctions are points on a DNA sequence at which `superfluous' DNA is removed during the process of protein creation in higher organisms. The problem posed in this dataset is to recognize, given a sequence of DNA, the boundaries between exons (the parts of the DNA sequence retained after splicing) and introns (the parts of the DNA sequence that are spliced out). This problem consists of two subtasks: recognizing exon/intron boundaries (referred to as EI sites), and recognizing intron/exon boundaries (IE sites). (In the biological community, IE borders are referred to a ``acceptors'' while EI borders are referred to as ``donors''.) </w:t>
        <w:br/>
        <w:br/>
        <w:t>This dataset has been developed to help evaluate a "hybrid" learning algorithm (KBANN) that uses examples to inductively refine preexisting knowledge. Using a "ten-fold cross-validation" methodology on 1000 examples randomly selected from the complete set of 3190, the following error rates were produced by various ML algorithms (all experiments run at the Univ of Wisconsin, sometimes with local implementations of published algorithms). </w:t>
        <w:br/>
        <w:br/>
        <w:t>System -- Neither -- EI -- IE </w:t>
        <w:br/>
        <w:t>--------------------------------------------------- </w:t>
        <w:br/>
        <w:t>KBANN -- 4.62 -- 7.56 -- 8.47 </w:t>
        <w:br/>
        <w:t>BACKPROP -- 5.29 -- 5.74 -- 10.75 </w:t>
        <w:br/>
        <w:t>PEBLS -- 6.86 -- 8.18 -- 7.55 </w:t>
        <w:br/>
        <w:t>PERCEPTRON -- 3.99 -- 16.32 -- 17.41 </w:t>
        <w:br/>
        <w:t>ID3 -- 8.84 -- 10.58 -- 13.99 </w:t>
        <w:br/>
        <w:t>COBWEB -- 11.80 -- 15.04 -- 9.46 </w:t>
        <w:br/>
        <w:t>Near. Neighbor -- 31.11 -- 11.65 -- 9.09</w:t>
      </w:r>
    </w:p>
    <w:p>
      <w:pPr>
        <w:pStyle w:val="TextBody"/>
        <w:rPr/>
      </w:pPr>
      <w:r>
        <w:rPr/>
      </w:r>
    </w:p>
    <w:p>
      <w:pPr>
        <w:pStyle w:val="TextBody"/>
        <w:widowControl/>
        <w:ind w:left="0" w:right="0" w:hanging="0"/>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Attribute Information:</w:t>
      </w:r>
    </w:p>
    <w:p>
      <w:pPr>
        <w:pStyle w:val="TextBody"/>
        <w:widowControl/>
        <w:ind w:left="0" w:right="0" w:hanging="0"/>
        <w:rPr>
          <w:rFonts w:ascii="Arial;Helvetica;sans-serif" w:hAnsi="Arial;Helvetica;sans-serif"/>
          <w:b w:val="false"/>
          <w:i w:val="false"/>
          <w:caps w:val="false"/>
          <w:smallCaps w:val="false"/>
          <w:color w:val="123654"/>
          <w:spacing w:val="0"/>
          <w:sz w:val="20"/>
        </w:rPr>
      </w:pPr>
      <w:r>
        <w:rPr>
          <w:rFonts w:ascii="Arial;Helvetica;sans-serif" w:hAnsi="Arial;Helvetica;sans-serif"/>
          <w:b w:val="false"/>
          <w:i w:val="false"/>
          <w:caps w:val="false"/>
          <w:smallCaps w:val="false"/>
          <w:color w:val="123654"/>
          <w:spacing w:val="0"/>
          <w:sz w:val="20"/>
        </w:rPr>
        <w:t>1. One of {n ei ie}, indicating the class. </w:t>
        <w:br/>
        <w:t>2. The instance name. </w:t>
        <w:br/>
        <w:t>3-62. The remaining 60 fields are the sequence, starting at position -30 and ending at position +30. Each of these fields is almost always filled by one of {a, g, t, c}. Other characters indicate ambiguity among the standard characters according to the following table: </w:t>
        <w:br/>
        <w:br/>
        <w:t>character: meaning </w:t>
        <w:br/>
        <w:t>D: A or G or T </w:t>
        <w:br/>
        <w:t>N: A or G or C or T </w:t>
        <w:br/>
        <w:t>S: C or G </w:t>
        <w:br/>
        <w:t>R: A or G</w:t>
      </w:r>
    </w:p>
    <w:p>
      <w:pPr>
        <w:pStyle w:val="TextBody"/>
        <w:widowControl/>
        <w:ind w:left="0" w:right="0" w:hanging="0"/>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Relevant Papers:</w:t>
      </w:r>
    </w:p>
    <w:p>
      <w:pPr>
        <w:pStyle w:val="TextBody"/>
        <w:widowControl/>
        <w:ind w:left="0" w:right="0" w:hanging="0"/>
        <w:rPr/>
      </w:pPr>
      <w:r>
        <w:rPr>
          <w:rFonts w:ascii="Arial;Helvetica;sans-serif" w:hAnsi="Arial;Helvetica;sans-serif"/>
          <w:b w:val="false"/>
          <w:i w:val="false"/>
          <w:caps w:val="false"/>
          <w:smallCaps w:val="false"/>
          <w:color w:val="123654"/>
          <w:spacing w:val="0"/>
          <w:sz w:val="20"/>
        </w:rPr>
        <w:t>M. O. Noordewier and G. G. Towell and J. W. Shavlik, 1991; "Training Knowledge-Based Neural Networks to Recognize Genes in DNA Sequences". Advances in Neural Information Processing Systems, volume 3, Morgan Kaufmann. </w:t>
        <w:br/>
      </w:r>
      <w:hyperlink r:id="rId6">
        <w:r>
          <w:rPr>
            <w:rStyle w:val="InternetLink"/>
          </w:rPr>
          <w:t>[Web Link]</w:t>
        </w:r>
      </w:hyperlink>
      <w:r>
        <w:rPr>
          <w:rFonts w:ascii="Arial;Helvetica;sans-serif" w:hAnsi="Arial;Helvetica;sans-serif"/>
          <w:b w:val="false"/>
          <w:i w:val="false"/>
          <w:caps w:val="false"/>
          <w:smallCaps w:val="false"/>
          <w:color w:val="123654"/>
          <w:spacing w:val="0"/>
          <w:sz w:val="20"/>
        </w:rPr>
        <w:t> </w:t>
        <w:br/>
        <w:br/>
        <w:t>G. G. Towell and J. W. Shavlik and M. W. Craven, 1991; "Constructive Induction in Knowledge-Based Neural Networks", In Proceedings of the Eighth International Machine Learning Workshop, Morgan Kaufmann. </w:t>
        <w:br/>
      </w:r>
      <w:hyperlink r:id="rId7">
        <w:r>
          <w:rPr>
            <w:rStyle w:val="InternetLink"/>
          </w:rPr>
          <w:t>[Web Link]</w:t>
        </w:r>
      </w:hyperlink>
      <w:r>
        <w:rPr>
          <w:rFonts w:ascii="Arial;Helvetica;sans-serif" w:hAnsi="Arial;Helvetica;sans-serif"/>
          <w:b w:val="false"/>
          <w:i w:val="false"/>
          <w:caps w:val="false"/>
          <w:smallCaps w:val="false"/>
          <w:color w:val="123654"/>
          <w:spacing w:val="0"/>
          <w:sz w:val="20"/>
        </w:rPr>
        <w:t> </w:t>
        <w:br/>
        <w:br/>
        <w:t>G. G. Towell, 1991; "Symbolic Knowledge and Neural Networks: Insertion, Refinement, and Extraction", PhD Thesis, University of Wisconsin - Madison. </w:t>
        <w:br/>
      </w:r>
      <w:hyperlink r:id="rId8">
        <w:r>
          <w:rPr>
            <w:rStyle w:val="InternetLink"/>
          </w:rPr>
          <w:t>[Web Link]</w:t>
        </w:r>
      </w:hyperlink>
      <w:r>
        <w:rPr>
          <w:rFonts w:ascii="Arial;Helvetica;sans-serif" w:hAnsi="Arial;Helvetica;sans-serif"/>
          <w:b w:val="false"/>
          <w:i w:val="false"/>
          <w:caps w:val="false"/>
          <w:smallCaps w:val="false"/>
          <w:color w:val="123654"/>
          <w:spacing w:val="0"/>
          <w:sz w:val="20"/>
        </w:rPr>
        <w:t> </w:t>
        <w:br/>
        <w:br/>
        <w:t>G. G. Towell and J. W. Shavlik, 1992; "Interpretation of Artificial Neural Networks: Mapping Knowledge-based Neural Networks into Rules", In Advances in Neural Information Processing Systems, volume 4, Morgan Kaufmann. </w:t>
        <w:br/>
      </w:r>
      <w:hyperlink r:id="rId9">
        <w:r>
          <w:rPr>
            <w:rStyle w:val="InternetLink"/>
          </w:rPr>
          <w:t>[Web Link]</w:t>
        </w:r>
      </w:hyperlink>
    </w:p>
    <w:p>
      <w:pPr>
        <w:pStyle w:val="TextBody"/>
        <w:rPr/>
      </w:pPr>
      <w:r>
        <w:rPr/>
      </w:r>
    </w:p>
    <w:p>
      <w:pPr>
        <w:pStyle w:val="TextBody"/>
        <w:widowControl/>
        <w:ind w:left="0" w:right="0" w:hanging="0"/>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Papers That Cite This Data Set</w:t>
      </w:r>
      <w:r>
        <w:rPr>
          <w:rFonts w:ascii="Arial;Helvetica;sans-serif" w:hAnsi="Arial;Helvetica;sans-serif"/>
          <w:b/>
          <w:i w:val="false"/>
          <w:caps w:val="false"/>
          <w:smallCaps w:val="false"/>
          <w:color w:val="123654"/>
          <w:spacing w:val="0"/>
          <w:position w:val="9"/>
          <w:sz w:val="22"/>
          <w:sz w:val="28"/>
        </w:rPr>
        <w:t>1</w:t>
      </w:r>
      <w:r>
        <w:rPr>
          <w:rFonts w:ascii="Arial;Helvetica;sans-serif" w:hAnsi="Arial;Helvetica;sans-serif"/>
          <w:b/>
          <w:i w:val="false"/>
          <w:caps w:val="false"/>
          <w:smallCaps w:val="false"/>
          <w:color w:val="123654"/>
          <w:spacing w:val="0"/>
          <w:sz w:val="28"/>
        </w:rPr>
        <w:t>:</w:t>
      </w:r>
    </w:p>
    <w:p>
      <w:pPr>
        <w:pStyle w:val="TextBody"/>
        <w:rPr/>
      </w:pPr>
      <w:r>
        <w:rPr/>
        <w:drawing>
          <wp:inline distT="0" distB="0" distL="0" distR="0">
            <wp:extent cx="1470660" cy="3200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1470660" cy="320040"/>
                    </a:xfrm>
                    <a:prstGeom prst="rect">
                      <a:avLst/>
                    </a:prstGeom>
                  </pic:spPr>
                </pic:pic>
              </a:graphicData>
            </a:graphic>
          </wp:inline>
        </w:drawing>
      </w:r>
    </w:p>
    <w:p>
      <w:pPr>
        <w:pStyle w:val="TextBody"/>
        <w:widowControl/>
        <w:ind w:left="0" w:right="0" w:hanging="0"/>
        <w:rPr/>
      </w:pPr>
      <w:r>
        <w:rPr>
          <w:rFonts w:ascii="Arial;Helvetica;sans-serif" w:hAnsi="Arial;Helvetica;sans-serif"/>
          <w:b w:val="false"/>
          <w:i w:val="false"/>
          <w:caps w:val="false"/>
          <w:smallCaps w:val="false"/>
          <w:color w:val="123654"/>
          <w:spacing w:val="0"/>
          <w:sz w:val="20"/>
        </w:rPr>
        <w:t>Jinyan Li and Limsoon Wong. </w:t>
      </w:r>
      <w:hyperlink r:id="rId11">
        <w:r>
          <w:rPr>
            <w:rStyle w:val="InternetLink"/>
          </w:rPr>
          <w:t>Using Rules to Analyse Bio-medical Data: A Comparison between C4.5 and PCL</w:t>
        </w:r>
      </w:hyperlink>
      <w:r>
        <w:rPr>
          <w:rFonts w:ascii="Arial;Helvetica;sans-serif" w:hAnsi="Arial;Helvetica;sans-serif"/>
          <w:b w:val="false"/>
          <w:i w:val="false"/>
          <w:caps w:val="false"/>
          <w:smallCaps w:val="false"/>
          <w:color w:val="123654"/>
          <w:spacing w:val="0"/>
          <w:sz w:val="20"/>
        </w:rPr>
        <w:t>. WAIM. 2003. [</w:t>
      </w:r>
      <w:r>
        <w:fldChar w:fldCharType="begin"/>
      </w:r>
      <w:r>
        <w:instrText> HYPERLINK "https://archive.ics.uci.edu/ml/support/Molecular+Biology+(Splice-junction+Gene+Sequences)" \l "4f29b49d0d83edf9e0a21d102467df5ffdf64fcb"</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Susanne Hoche and Stefan Wrobel. </w:t>
      </w:r>
      <w:hyperlink r:id="rId12">
        <w:r>
          <w:rPr>
            <w:rStyle w:val="InternetLink"/>
          </w:rPr>
          <w:t>Scaling Boosting by Margin-Based Inclusionof Features and Relations</w:t>
        </w:r>
      </w:hyperlink>
      <w:r>
        <w:rPr>
          <w:rFonts w:ascii="Arial;Helvetica;sans-serif" w:hAnsi="Arial;Helvetica;sans-serif"/>
          <w:b w:val="false"/>
          <w:i w:val="false"/>
          <w:caps w:val="false"/>
          <w:smallCaps w:val="false"/>
          <w:color w:val="123654"/>
          <w:spacing w:val="0"/>
          <w:sz w:val="20"/>
        </w:rPr>
        <w:t>. ECML. 2002. [</w:t>
      </w:r>
      <w:r>
        <w:fldChar w:fldCharType="begin"/>
      </w:r>
      <w:r>
        <w:instrText> HYPERLINK "https://archive.ics.uci.edu/ml/support/Molecular+Biology+(Splice-junction+Gene+Sequences)" \l "f877b9d13dc80d6292789ea42108706658a378ab"</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S. Sathiya Keerthi and Kaibo Duan and Shirish Krishnaj Shevade and Aun Neow Poo. </w:t>
      </w:r>
      <w:hyperlink r:id="rId13">
        <w:r>
          <w:rPr>
            <w:rStyle w:val="InternetLink"/>
          </w:rPr>
          <w:t>A Fast Dual Algorithm for Kernel Logistic Regression</w:t>
        </w:r>
      </w:hyperlink>
      <w:r>
        <w:rPr>
          <w:rFonts w:ascii="Arial;Helvetica;sans-serif" w:hAnsi="Arial;Helvetica;sans-serif"/>
          <w:b w:val="false"/>
          <w:i w:val="false"/>
          <w:caps w:val="false"/>
          <w:smallCaps w:val="false"/>
          <w:color w:val="123654"/>
          <w:spacing w:val="0"/>
          <w:sz w:val="20"/>
        </w:rPr>
        <w:t>. ICML. 2002. [</w:t>
      </w:r>
      <w:r>
        <w:fldChar w:fldCharType="begin"/>
      </w:r>
      <w:r>
        <w:instrText> HYPERLINK "https://archive.ics.uci.edu/ml/support/Molecular+Biology+(Splice-junction+Gene+Sequences)" \l "6a6b4ca13137132e00185012fd7c4667ff964769"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Michael G. Madden. </w:t>
      </w:r>
      <w:hyperlink r:id="rId14">
        <w:r>
          <w:rPr>
            <w:rStyle w:val="InternetLink"/>
          </w:rPr>
          <w:t>Evaluation of the Performance of the Markov Blanket Bayesian Classifier Algorithm</w:t>
        </w:r>
      </w:hyperlink>
      <w:r>
        <w:rPr>
          <w:rFonts w:ascii="Arial;Helvetica;sans-serif" w:hAnsi="Arial;Helvetica;sans-serif"/>
          <w:b w:val="false"/>
          <w:i w:val="false"/>
          <w:caps w:val="false"/>
          <w:smallCaps w:val="false"/>
          <w:color w:val="123654"/>
          <w:spacing w:val="0"/>
          <w:sz w:val="20"/>
        </w:rPr>
        <w:t>. CoRR, csLG/0211003. 2002. [</w:t>
      </w:r>
      <w:r>
        <w:fldChar w:fldCharType="begin"/>
      </w:r>
      <w:r>
        <w:instrText> HYPERLINK "https://archive.ics.uci.edu/ml/support/Molecular+Biology+(Splice-junction+Gene+Sequences)" \l "d25c86892bfa80849ecd629de4c45936a52a1590"</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Xiaojin Zhu. </w:t>
      </w:r>
      <w:hyperlink r:id="rId15">
        <w:r>
          <w:rPr>
            <w:rStyle w:val="InternetLink"/>
          </w:rPr>
          <w:t>Label Propagation for Eukaryotic Splice Junction Identification</w:t>
        </w:r>
      </w:hyperlink>
      <w:r>
        <w:rPr>
          <w:rFonts w:ascii="Arial;Helvetica;sans-serif" w:hAnsi="Arial;Helvetica;sans-serif"/>
          <w:b w:val="false"/>
          <w:i w:val="false"/>
          <w:caps w:val="false"/>
          <w:smallCaps w:val="false"/>
          <w:color w:val="123654"/>
          <w:spacing w:val="0"/>
          <w:sz w:val="20"/>
        </w:rPr>
        <w:t>. 2002. [</w:t>
      </w:r>
      <w:r>
        <w:fldChar w:fldCharType="begin"/>
      </w:r>
      <w:r>
        <w:instrText> HYPERLINK "https://archive.ics.uci.edu/ml/support/Molecular+Biology+(Splice-junction+Gene+Sequences)" \l "75f0f1770a1317fc5ab730609fa1e3cf642794f6"</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Mukund Deshpande and George Karypis. </w:t>
      </w:r>
      <w:hyperlink r:id="rId16">
        <w:r>
          <w:rPr>
            <w:rStyle w:val="InternetLink"/>
          </w:rPr>
          <w:t>Evaluation of Techniques for Classifying Biological Sequences</w:t>
        </w:r>
      </w:hyperlink>
      <w:r>
        <w:rPr>
          <w:rFonts w:ascii="Arial;Helvetica;sans-serif" w:hAnsi="Arial;Helvetica;sans-serif"/>
          <w:b w:val="false"/>
          <w:i w:val="false"/>
          <w:caps w:val="false"/>
          <w:smallCaps w:val="false"/>
          <w:color w:val="123654"/>
          <w:spacing w:val="0"/>
          <w:sz w:val="20"/>
        </w:rPr>
        <w:t>. PAKDD. 2002. [</w:t>
      </w:r>
      <w:r>
        <w:fldChar w:fldCharType="begin"/>
      </w:r>
      <w:r>
        <w:instrText> HYPERLINK "https://archive.ics.uci.edu/ml/support/Molecular+Biology+(Splice-junction+Gene+Sequences)" \l "f006e50cdba5e00538e2b48452e1d0bab8ed02b9"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Jinyan Li and Kotagiri Ramamohanarao and Guozhu Dong. </w:t>
      </w:r>
      <w:hyperlink r:id="rId17">
        <w:r>
          <w:rPr>
            <w:rStyle w:val="InternetLink"/>
          </w:rPr>
          <w:t>Combining the Strength of Pattern Frequency and Distance for Classification</w:t>
        </w:r>
      </w:hyperlink>
      <w:r>
        <w:rPr>
          <w:rFonts w:ascii="Arial;Helvetica;sans-serif" w:hAnsi="Arial;Helvetica;sans-serif"/>
          <w:b w:val="false"/>
          <w:i w:val="false"/>
          <w:caps w:val="false"/>
          <w:smallCaps w:val="false"/>
          <w:color w:val="123654"/>
          <w:spacing w:val="0"/>
          <w:sz w:val="20"/>
        </w:rPr>
        <w:t>. PAKDD. 2001. [</w:t>
      </w:r>
      <w:r>
        <w:fldChar w:fldCharType="begin"/>
      </w:r>
      <w:r>
        <w:instrText> HYPERLINK "https://archive.ics.uci.edu/ml/support/Molecular+Biology+(Splice-junction+Gene+Sequences)" \l "0cedee7ef9325127fb946dcdddf8795644e28335"</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Jinyan Li and Guozhu Dong and Kotagiri Ramamohanarao and Limsoon Wong. </w:t>
      </w:r>
      <w:hyperlink r:id="rId18">
        <w:r>
          <w:rPr>
            <w:rStyle w:val="InternetLink"/>
          </w:rPr>
          <w:t>DeEPs: A New Instance-based Discovery and Classification System</w:t>
        </w:r>
      </w:hyperlink>
      <w:r>
        <w:rPr>
          <w:rFonts w:ascii="Arial;Helvetica;sans-serif" w:hAnsi="Arial;Helvetica;sans-serif"/>
          <w:b w:val="false"/>
          <w:i w:val="false"/>
          <w:caps w:val="false"/>
          <w:smallCaps w:val="false"/>
          <w:color w:val="123654"/>
          <w:spacing w:val="0"/>
          <w:sz w:val="20"/>
        </w:rPr>
        <w:t>. Proceedings of the Fourth European Conference on Principles and Practice of Knowledge Discovery in Databases. 2001. [</w:t>
      </w:r>
      <w:r>
        <w:fldChar w:fldCharType="begin"/>
      </w:r>
      <w:r>
        <w:instrText> HYPERLINK "https://archive.ics.uci.edu/ml/support/Molecular+Biology+(Splice-junction+Gene+Sequences)" \l "ca1c2b19089d0ca0d4069b04c35d6f6c4312db79"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Jinyan Li and Guozhu Dong and Kotagiri Ramamohanarao. </w:t>
      </w:r>
      <w:hyperlink r:id="rId19">
        <w:r>
          <w:rPr>
            <w:rStyle w:val="InternetLink"/>
          </w:rPr>
          <w:t>Instance-Based Classification by Emerging Patterns</w:t>
        </w:r>
      </w:hyperlink>
      <w:r>
        <w:rPr>
          <w:rFonts w:ascii="Arial;Helvetica;sans-serif" w:hAnsi="Arial;Helvetica;sans-serif"/>
          <w:b w:val="false"/>
          <w:i w:val="false"/>
          <w:caps w:val="false"/>
          <w:smallCaps w:val="false"/>
          <w:color w:val="123654"/>
          <w:spacing w:val="0"/>
          <w:sz w:val="20"/>
        </w:rPr>
        <w:t>. PKDD. 2000. [</w:t>
      </w:r>
      <w:r>
        <w:fldChar w:fldCharType="begin"/>
      </w:r>
      <w:r>
        <w:instrText> HYPERLINK "https://archive.ics.uci.edu/ml/support/Molecular+Biology+(Splice-junction+Gene+Sequences)" \l "111c890abe7dc9f26523d1c59b7a75a04b69256b"</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Thomas G. Dietterich. </w:t>
      </w:r>
      <w:hyperlink r:id="rId20">
        <w:r>
          <w:rPr>
            <w:rStyle w:val="InternetLink"/>
          </w:rPr>
          <w:t>An Experimental Comparison of Three Methods for Constructing Ensembles of Decision Trees: Bagging, Boosting, and Randomization</w:t>
        </w:r>
      </w:hyperlink>
      <w:r>
        <w:rPr>
          <w:rFonts w:ascii="Arial;Helvetica;sans-serif" w:hAnsi="Arial;Helvetica;sans-serif"/>
          <w:b w:val="false"/>
          <w:i w:val="false"/>
          <w:caps w:val="false"/>
          <w:smallCaps w:val="false"/>
          <w:color w:val="123654"/>
          <w:spacing w:val="0"/>
          <w:sz w:val="20"/>
        </w:rPr>
        <w:t>. Machine Learning, 40. 2000. [</w:t>
      </w:r>
      <w:r>
        <w:fldChar w:fldCharType="begin"/>
      </w:r>
      <w:r>
        <w:instrText> HYPERLINK "https://archive.ics.uci.edu/ml/support/Molecular+Biology+(Splice-junction+Gene+Sequences)" \l "4eff6dda32898a8bdc8268d2a790a96b93f2e262"</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Marina Meila and Michael I. Jordan. </w:t>
      </w:r>
      <w:hyperlink r:id="rId21">
        <w:r>
          <w:rPr>
            <w:rStyle w:val="InternetLink"/>
          </w:rPr>
          <w:t>Learning with Mixtures of Trees</w:t>
        </w:r>
      </w:hyperlink>
      <w:r>
        <w:rPr>
          <w:rFonts w:ascii="Arial;Helvetica;sans-serif" w:hAnsi="Arial;Helvetica;sans-serif"/>
          <w:b w:val="false"/>
          <w:i w:val="false"/>
          <w:caps w:val="false"/>
          <w:smallCaps w:val="false"/>
          <w:color w:val="123654"/>
          <w:spacing w:val="0"/>
          <w:sz w:val="20"/>
        </w:rPr>
        <w:t>. Journal of Machine Learning Research, 1. 2000. [</w:t>
      </w:r>
      <w:r>
        <w:fldChar w:fldCharType="begin"/>
      </w:r>
      <w:r>
        <w:instrText> HYPERLINK "https://archive.ics.uci.edu/ml/support/Molecular+Biology+(Splice-junction+Gene+Sequences)" \l "4a338bab101f6721ea5dc4d76de5456721fbf0a3"</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Kai Ming Ting and Ian H. Witten. </w:t>
      </w:r>
      <w:hyperlink r:id="rId22">
        <w:r>
          <w:rPr>
            <w:rStyle w:val="InternetLink"/>
          </w:rPr>
          <w:t>Issues in Stacked Generalization</w:t>
        </w:r>
      </w:hyperlink>
      <w:r>
        <w:rPr>
          <w:rFonts w:ascii="Arial;Helvetica;sans-serif" w:hAnsi="Arial;Helvetica;sans-serif"/>
          <w:b w:val="false"/>
          <w:i w:val="false"/>
          <w:caps w:val="false"/>
          <w:smallCaps w:val="false"/>
          <w:color w:val="123654"/>
          <w:spacing w:val="0"/>
          <w:sz w:val="20"/>
        </w:rPr>
        <w:t>. J. Artif. Intell. Res. (JAIR, 10. 1999. [</w:t>
      </w:r>
      <w:r>
        <w:fldChar w:fldCharType="begin"/>
      </w:r>
      <w:r>
        <w:instrText> HYPERLINK "https://archive.ics.uci.edu/ml/support/Molecular+Biology+(Splice-junction+Gene+Sequences)" \l "70172e511a3bc27c7927119a3b2a3405fbad99e0"</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Yoav Freund and Lorne Mason. </w:t>
      </w:r>
      <w:hyperlink r:id="rId23">
        <w:r>
          <w:rPr>
            <w:rStyle w:val="InternetLink"/>
          </w:rPr>
          <w:t>The Alternating Decision Tree Learning Algorithm</w:t>
        </w:r>
      </w:hyperlink>
      <w:r>
        <w:rPr>
          <w:rFonts w:ascii="Arial;Helvetica;sans-serif" w:hAnsi="Arial;Helvetica;sans-serif"/>
          <w:b w:val="false"/>
          <w:i w:val="false"/>
          <w:caps w:val="false"/>
          <w:smallCaps w:val="false"/>
          <w:color w:val="123654"/>
          <w:spacing w:val="0"/>
          <w:sz w:val="20"/>
        </w:rPr>
        <w:t>. ICML. 1999. [</w:t>
      </w:r>
      <w:r>
        <w:fldChar w:fldCharType="begin"/>
      </w:r>
      <w:r>
        <w:instrText> HYPERLINK "https://archive.ics.uci.edu/ml/support/Molecular+Biology+(Splice-junction+Gene+Sequences)" \l "58642563848aaece947320829da7d338224cb8b3"</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Lorne Mason and Jonathan Baxter and Peter L. Bartlett and Marcus Frean. </w:t>
      </w:r>
      <w:hyperlink r:id="rId24">
        <w:r>
          <w:rPr>
            <w:rStyle w:val="InternetLink"/>
          </w:rPr>
          <w:t>Boosting Algorithms as Gradient Descent</w:t>
        </w:r>
      </w:hyperlink>
      <w:r>
        <w:rPr>
          <w:rFonts w:ascii="Arial;Helvetica;sans-serif" w:hAnsi="Arial;Helvetica;sans-serif"/>
          <w:b w:val="false"/>
          <w:i w:val="false"/>
          <w:caps w:val="false"/>
          <w:smallCaps w:val="false"/>
          <w:color w:val="123654"/>
          <w:spacing w:val="0"/>
          <w:sz w:val="20"/>
        </w:rPr>
        <w:t>. NIPS. 1999. [</w:t>
      </w:r>
      <w:r>
        <w:fldChar w:fldCharType="begin"/>
      </w:r>
      <w:r>
        <w:instrText> HYPERLINK "https://archive.ics.uci.edu/ml/support/Molecular+Biology+(Splice-junction+Gene+Sequences)" \l "f820b10d6723504d343c9741f7333fbc3393fd05"</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Kagan Tumer and Nikunj C. Oza. </w:t>
      </w:r>
      <w:hyperlink r:id="rId25">
        <w:r>
          <w:rPr>
            <w:rStyle w:val="InternetLink"/>
          </w:rPr>
          <w:t>Decimated Input Ensembles for Improved Generalization</w:t>
        </w:r>
      </w:hyperlink>
      <w:r>
        <w:rPr>
          <w:rFonts w:ascii="Arial;Helvetica;sans-serif" w:hAnsi="Arial;Helvetica;sans-serif"/>
          <w:b w:val="false"/>
          <w:i w:val="false"/>
          <w:caps w:val="false"/>
          <w:smallCaps w:val="false"/>
          <w:color w:val="123654"/>
          <w:spacing w:val="0"/>
          <w:sz w:val="20"/>
        </w:rPr>
        <w:t>. NASA Ames Research Center. 1999. [</w:t>
      </w:r>
      <w:r>
        <w:fldChar w:fldCharType="begin"/>
      </w:r>
      <w:r>
        <w:instrText> HYPERLINK "https://archive.ics.uci.edu/ml/support/Molecular+Biology+(Splice-junction+Gene+Sequences)" \l "2b8c2489b0b9622471466385b6d5c1cf703bd4c8"</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Blaz Zupan and Marko Bohanec and Janez Dem#sar and Ivan Bratko. </w:t>
      </w:r>
      <w:hyperlink r:id="rId26">
        <w:r>
          <w:rPr>
            <w:rStyle w:val="InternetLink"/>
          </w:rPr>
          <w:t>Learning by Discovering Concept Hierarchies</w:t>
        </w:r>
      </w:hyperlink>
      <w:r>
        <w:rPr>
          <w:rFonts w:ascii="Arial;Helvetica;sans-serif" w:hAnsi="Arial;Helvetica;sans-serif"/>
          <w:b w:val="false"/>
          <w:i w:val="false"/>
          <w:caps w:val="false"/>
          <w:smallCaps w:val="false"/>
          <w:color w:val="123654"/>
          <w:spacing w:val="0"/>
          <w:sz w:val="20"/>
        </w:rPr>
        <w:t>. Artif. Intell, 109. 1999. [</w:t>
      </w:r>
      <w:r>
        <w:fldChar w:fldCharType="begin"/>
      </w:r>
      <w:r>
        <w:instrText> HYPERLINK "https://archive.ics.uci.edu/ml/support/Molecular+Biology+(Splice-junction+Gene+Sequences)" \l "50aaf7ca6a34bd2aadbd1cb87235bda27650bb18"</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Foster J. Provost and Tom Fawcett and Ron Kohavi. </w:t>
      </w:r>
      <w:hyperlink r:id="rId27">
        <w:r>
          <w:rPr>
            <w:rStyle w:val="InternetLink"/>
          </w:rPr>
          <w:t>The Case against Accuracy Estimation for Comparing Induction Algorithms</w:t>
        </w:r>
      </w:hyperlink>
      <w:r>
        <w:rPr>
          <w:rFonts w:ascii="Arial;Helvetica;sans-serif" w:hAnsi="Arial;Helvetica;sans-serif"/>
          <w:b w:val="false"/>
          <w:i w:val="false"/>
          <w:caps w:val="false"/>
          <w:smallCaps w:val="false"/>
          <w:color w:val="123654"/>
          <w:spacing w:val="0"/>
          <w:sz w:val="20"/>
        </w:rPr>
        <w:t>. ICML. 1998. [</w:t>
      </w:r>
      <w:r>
        <w:fldChar w:fldCharType="begin"/>
      </w:r>
      <w:r>
        <w:instrText> HYPERLINK "https://archive.ics.uci.edu/ml/support/Molecular+Biology+(Splice-junction+Gene+Sequences)" \l "3ce34105eca9577e44de969f9ef94ca3cdcad3d9"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Andreas L. Prodromidis. </w:t>
      </w:r>
      <w:hyperlink r:id="rId28">
        <w:r>
          <w:rPr>
            <w:rStyle w:val="InternetLink"/>
          </w:rPr>
          <w:t>On the Management of Distributed Learning Agents Ph.D. Thesis Proposal CUCS-032-97</w:t>
        </w:r>
      </w:hyperlink>
      <w:r>
        <w:rPr>
          <w:rFonts w:ascii="Arial;Helvetica;sans-serif" w:hAnsi="Arial;Helvetica;sans-serif"/>
          <w:b w:val="false"/>
          <w:i w:val="false"/>
          <w:caps w:val="false"/>
          <w:smallCaps w:val="false"/>
          <w:color w:val="123654"/>
          <w:spacing w:val="0"/>
          <w:sz w:val="20"/>
        </w:rPr>
        <w:t>. Department of Computer Science Columbia University. 1998. [</w:t>
      </w:r>
      <w:r>
        <w:fldChar w:fldCharType="begin"/>
      </w:r>
      <w:r>
        <w:instrText> HYPERLINK "https://archive.ics.uci.edu/ml/support/Molecular+Biology+(Splice-junction+Gene+Sequences)" \l "f23deedb8c4f89030e936b0d119459b41278db96"</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Manoranjan Dash and Huan Liu. </w:t>
      </w:r>
      <w:hyperlink r:id="rId29">
        <w:r>
          <w:rPr>
            <w:rStyle w:val="InternetLink"/>
          </w:rPr>
          <w:t>Hybrid Search of Feature Subsets</w:t>
        </w:r>
      </w:hyperlink>
      <w:r>
        <w:rPr>
          <w:rFonts w:ascii="Arial;Helvetica;sans-serif" w:hAnsi="Arial;Helvetica;sans-serif"/>
          <w:b w:val="false"/>
          <w:i w:val="false"/>
          <w:caps w:val="false"/>
          <w:smallCaps w:val="false"/>
          <w:color w:val="123654"/>
          <w:spacing w:val="0"/>
          <w:sz w:val="20"/>
        </w:rPr>
        <w:t>. PRICAI. 1998. [</w:t>
      </w:r>
      <w:r>
        <w:fldChar w:fldCharType="begin"/>
      </w:r>
      <w:r>
        <w:instrText> HYPERLINK "https://archive.ics.uci.edu/ml/support/Molecular+Biology+(Splice-junction+Gene+Sequences)" \l "8fe250a2bb9e7ca099dfd176a16a08f24bb95939"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Adam J. Grove and Dale Schuurmans. </w:t>
      </w:r>
      <w:hyperlink r:id="rId30">
        <w:r>
          <w:rPr>
            <w:rStyle w:val="InternetLink"/>
          </w:rPr>
          <w:t>Boosting in the Limit: Maximizing the Margin of Learned Ensembles</w:t>
        </w:r>
      </w:hyperlink>
      <w:r>
        <w:rPr>
          <w:rFonts w:ascii="Arial;Helvetica;sans-serif" w:hAnsi="Arial;Helvetica;sans-serif"/>
          <w:b w:val="false"/>
          <w:i w:val="false"/>
          <w:caps w:val="false"/>
          <w:smallCaps w:val="false"/>
          <w:color w:val="123654"/>
          <w:spacing w:val="0"/>
          <w:sz w:val="20"/>
        </w:rPr>
        <w:t>. AAAI/IAAI. 1998. [</w:t>
      </w:r>
      <w:r>
        <w:fldChar w:fldCharType="begin"/>
      </w:r>
      <w:r>
        <w:instrText> HYPERLINK "https://archive.ics.uci.edu/ml/support/Molecular+Biology+(Splice-junction+Gene+Sequences)" \l "c334718c7e09d2671197a8c9526018de1d816903"</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Kai Ming Ting and Boon Toh Low. </w:t>
      </w:r>
      <w:hyperlink r:id="rId31">
        <w:r>
          <w:rPr>
            <w:rStyle w:val="InternetLink"/>
          </w:rPr>
          <w:t>Model Combination in the Multiple-Data-Batches Scenario</w:t>
        </w:r>
      </w:hyperlink>
      <w:r>
        <w:rPr>
          <w:rFonts w:ascii="Arial;Helvetica;sans-serif" w:hAnsi="Arial;Helvetica;sans-serif"/>
          <w:b w:val="false"/>
          <w:i w:val="false"/>
          <w:caps w:val="false"/>
          <w:smallCaps w:val="false"/>
          <w:color w:val="123654"/>
          <w:spacing w:val="0"/>
          <w:sz w:val="20"/>
        </w:rPr>
        <w:t>. ECML. 1997. [</w:t>
      </w:r>
      <w:r>
        <w:fldChar w:fldCharType="begin"/>
      </w:r>
      <w:r>
        <w:instrText> HYPERLINK "https://archive.ics.uci.edu/ml/support/Molecular+Biology+(Splice-junction+Gene+Sequences)" \l "6a9871da32f3042a5de9082a36a11d5aecda6df8"</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Kamal Ali and Michael J. Pazzani. </w:t>
      </w:r>
      <w:hyperlink r:id="rId32">
        <w:r>
          <w:rPr>
            <w:rStyle w:val="InternetLink"/>
          </w:rPr>
          <w:t>Error Reduction through Learning Multiple Descriptions</w:t>
        </w:r>
      </w:hyperlink>
      <w:r>
        <w:rPr>
          <w:rFonts w:ascii="Arial;Helvetica;sans-serif" w:hAnsi="Arial;Helvetica;sans-serif"/>
          <w:b w:val="false"/>
          <w:i w:val="false"/>
          <w:caps w:val="false"/>
          <w:smallCaps w:val="false"/>
          <w:color w:val="123654"/>
          <w:spacing w:val="0"/>
          <w:sz w:val="20"/>
        </w:rPr>
        <w:t>. Machine Learning, 24. 1996. [</w:t>
      </w:r>
      <w:r>
        <w:fldChar w:fldCharType="begin"/>
      </w:r>
      <w:r>
        <w:instrText> HYPERLINK "https://archive.ics.uci.edu/ml/support/Molecular+Biology+(Splice-junction+Gene+Sequences)" \l "349644828ad3c8da8e1a15eee5aec0d704db34a1"</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Pedro Domingos. </w:t>
      </w:r>
      <w:hyperlink r:id="rId33">
        <w:r>
          <w:rPr>
            <w:rStyle w:val="InternetLink"/>
          </w:rPr>
          <w:t>Using Partitioning to Speed Up Specific-to-General Rule Induction</w:t>
        </w:r>
      </w:hyperlink>
      <w:r>
        <w:rPr>
          <w:rFonts w:ascii="Arial;Helvetica;sans-serif" w:hAnsi="Arial;Helvetica;sans-serif"/>
          <w:b w:val="false"/>
          <w:i w:val="false"/>
          <w:caps w:val="false"/>
          <w:smallCaps w:val="false"/>
          <w:color w:val="123654"/>
          <w:spacing w:val="0"/>
          <w:sz w:val="20"/>
        </w:rPr>
        <w:t>. Department of Information and Computer Science University of California, Irvine. [</w:t>
      </w:r>
      <w:r>
        <w:fldChar w:fldCharType="begin"/>
      </w:r>
      <w:r>
        <w:instrText> HYPERLINK "https://archive.ics.uci.edu/ml/support/Molecular+Biology+(Splice-junction+Gene+Sequences)" \l "3b8e310b092f79f90f6c4aac5dda1185d5a1aac7"</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Kai Ming Ting and Ian H. Witten. </w:t>
      </w:r>
      <w:hyperlink r:id="rId34">
        <w:r>
          <w:rPr>
            <w:rStyle w:val="InternetLink"/>
          </w:rPr>
          <w:t>Stacked Generalization: when does it work</w:t>
        </w:r>
      </w:hyperlink>
      <w:r>
        <w:rPr>
          <w:rFonts w:ascii="Arial;Helvetica;sans-serif" w:hAnsi="Arial;Helvetica;sans-serif"/>
          <w:b w:val="false"/>
          <w:i w:val="false"/>
          <w:caps w:val="false"/>
          <w:smallCaps w:val="false"/>
          <w:color w:val="123654"/>
          <w:spacing w:val="0"/>
          <w:sz w:val="20"/>
        </w:rPr>
        <w:t>. Department of Computer Science University of Waikato. [</w:t>
      </w:r>
      <w:r>
        <w:fldChar w:fldCharType="begin"/>
      </w:r>
      <w:r>
        <w:instrText> HYPERLINK "https://archive.ics.uci.edu/ml/support/Molecular+Biology+(Splice-junction+Gene+Sequences)" \l "939595ca638eb3390e9bb9c4e6cc1352163cbf18"</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Cesar Guerra-Salcedo and Stephen Chen and Darrell Whitley and Sarah Smith. </w:t>
      </w:r>
      <w:hyperlink r:id="rId35">
        <w:r>
          <w:rPr>
            <w:rStyle w:val="InternetLink"/>
          </w:rPr>
          <w:t>Fast and Accurate Feature Selection Using Hybrid Genetic Strategies</w:t>
        </w:r>
      </w:hyperlink>
      <w:r>
        <w:rPr>
          <w:rFonts w:ascii="Arial;Helvetica;sans-serif" w:hAnsi="Arial;Helvetica;sans-serif"/>
          <w:b w:val="false"/>
          <w:i w:val="false"/>
          <w:caps w:val="false"/>
          <w:smallCaps w:val="false"/>
          <w:color w:val="123654"/>
          <w:spacing w:val="0"/>
          <w:sz w:val="20"/>
        </w:rPr>
        <w:t>. Department of Computer Science Colorado State University. [</w:t>
      </w:r>
      <w:r>
        <w:fldChar w:fldCharType="begin"/>
      </w:r>
      <w:r>
        <w:instrText> HYPERLINK "https://archive.ics.uci.edu/ml/support/Molecular+Biology+(Splice-junction+Gene+Sequences)" \l "379f34d22ceaf54a97c9a95f0cb0e6eb2a44c1dc"</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Gustavo E. A and Gustavo E A P A Batista and Ronaldo C. Prati and Maria Carolina Monard. </w:t>
      </w:r>
      <w:hyperlink r:id="rId36">
        <w:r>
          <w:rPr>
            <w:rStyle w:val="InternetLink"/>
          </w:rPr>
          <w:t>A Study of the Behavior of Several Methods for Balancing Machine Learning Training Data</w:t>
        </w:r>
      </w:hyperlink>
      <w:r>
        <w:rPr>
          <w:rFonts w:ascii="Arial;Helvetica;sans-serif" w:hAnsi="Arial;Helvetica;sans-serif"/>
          <w:b w:val="false"/>
          <w:i w:val="false"/>
          <w:caps w:val="false"/>
          <w:smallCaps w:val="false"/>
          <w:color w:val="123654"/>
          <w:spacing w:val="0"/>
          <w:sz w:val="20"/>
        </w:rPr>
        <w:t>. Instituto de Ci ^ encias Matem aticas e de Computac~ ao. [</w:t>
      </w:r>
      <w:r>
        <w:fldChar w:fldCharType="begin"/>
      </w:r>
      <w:r>
        <w:instrText> HYPERLINK "https://archive.ics.uci.edu/ml/support/Molecular+Biology+(Splice-junction+Gene+Sequences)" \l "a27103950b8d7098468bd52f2af1d033fed91419"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Kai Ming Ting and Boon Toh Low. </w:t>
      </w:r>
      <w:hyperlink r:id="rId37">
        <w:r>
          <w:rPr>
            <w:rStyle w:val="InternetLink"/>
          </w:rPr>
          <w:t>Theory Combination: an alternative to Data Combination</w:t>
        </w:r>
      </w:hyperlink>
      <w:r>
        <w:rPr>
          <w:rFonts w:ascii="Arial;Helvetica;sans-serif" w:hAnsi="Arial;Helvetica;sans-serif"/>
          <w:b w:val="false"/>
          <w:i w:val="false"/>
          <w:caps w:val="false"/>
          <w:smallCaps w:val="false"/>
          <w:color w:val="123654"/>
          <w:spacing w:val="0"/>
          <w:sz w:val="20"/>
        </w:rPr>
        <w:t>. University of Waikato. [</w:t>
      </w:r>
      <w:r>
        <w:fldChar w:fldCharType="begin"/>
      </w:r>
      <w:r>
        <w:instrText> HYPERLINK "https://archive.ics.uci.edu/ml/support/Molecular+Biology+(Splice-junction+Gene+Sequences)" \l "49c65a0dfe258129414e27f6a3b7c42b7fbe426e"</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Rudy Setiono. </w:t>
      </w:r>
      <w:hyperlink r:id="rId38">
        <w:r>
          <w:rPr>
            <w:rStyle w:val="InternetLink"/>
          </w:rPr>
          <w:t>Extracting M-of-N Rules from Trained Neural Networks</w:t>
        </w:r>
      </w:hyperlink>
      <w:r>
        <w:rPr>
          <w:rFonts w:ascii="Arial;Helvetica;sans-serif" w:hAnsi="Arial;Helvetica;sans-serif"/>
          <w:b w:val="false"/>
          <w:i w:val="false"/>
          <w:caps w:val="false"/>
          <w:smallCaps w:val="false"/>
          <w:color w:val="123654"/>
          <w:spacing w:val="0"/>
          <w:sz w:val="20"/>
        </w:rPr>
        <w:t>. School of Computing National University of Singapore. [</w:t>
      </w:r>
      <w:r>
        <w:fldChar w:fldCharType="begin"/>
      </w:r>
      <w:r>
        <w:instrText> HYPERLINK "https://archive.ics.uci.edu/ml/support/Molecular+Biology+(Splice-junction+Gene+Sequences)" \l "42ba5137ab9d88dc1eae5caac18cb6a1818ae700"</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Rong-En Fan and P. -H Chen and C. -J Lin. </w:t>
      </w:r>
      <w:hyperlink r:id="rId39">
        <w:r>
          <w:rPr>
            <w:rStyle w:val="InternetLink"/>
          </w:rPr>
          <w:t>Working Set Selection Using the Second Order Information for Training SVM</w:t>
        </w:r>
      </w:hyperlink>
      <w:r>
        <w:rPr>
          <w:rFonts w:ascii="Arial;Helvetica;sans-serif" w:hAnsi="Arial;Helvetica;sans-serif"/>
          <w:b w:val="false"/>
          <w:i w:val="false"/>
          <w:caps w:val="false"/>
          <w:smallCaps w:val="false"/>
          <w:color w:val="123654"/>
          <w:spacing w:val="0"/>
          <w:sz w:val="20"/>
        </w:rPr>
        <w:t>. Department of Computer Science and Information Engineering National Taiwan University. [</w:t>
      </w:r>
      <w:r>
        <w:fldChar w:fldCharType="begin"/>
      </w:r>
      <w:r>
        <w:instrText> HYPERLINK "https://archive.ics.uci.edu/ml/support/Molecular+Biology+(Splice-junction+Gene+Sequences)" \l "da329267bf8880c2becb15eae121a5b002347349"</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br/>
        <w:br/>
        <w:t>M. A. Galway and Michael G. Madden. </w:t>
      </w:r>
      <w:hyperlink r:id="rId40">
        <w:r>
          <w:rPr>
            <w:rStyle w:val="InternetLink"/>
          </w:rPr>
          <w:t xml:space="preserve">DEPARTMENT OF INFORMATION TECHNOLOGY technical report </w:t>
        </w:r>
      </w:hyperlink>
      <w:hyperlink r:id="rId41">
        <w:r>
          <w:rPr>
            <w:rStyle w:val="InternetLink"/>
          </w:rPr>
          <w:t>NUIG-IT-011002 Evaluation of the Performance of the Markov Blanket Bayesian Classifier Algorithm</w:t>
        </w:r>
      </w:hyperlink>
      <w:r>
        <w:rPr>
          <w:rFonts w:ascii="Arial;Helvetica;sans-serif" w:hAnsi="Arial;Helvetica;sans-serif"/>
          <w:b w:val="false"/>
          <w:i w:val="false"/>
          <w:caps w:val="false"/>
          <w:smallCaps w:val="false"/>
          <w:color w:val="123654"/>
          <w:spacing w:val="0"/>
          <w:sz w:val="20"/>
        </w:rPr>
        <w:t>. Department of Information Technology National University of Ireland, Galway. [</w:t>
      </w:r>
      <w:r>
        <w:fldChar w:fldCharType="begin"/>
      </w:r>
      <w:r>
        <w:instrText> HYPERLINK "https://archive.ics.uci.edu/ml/support/Molecular+Biology+(Splice-junction+Gene+Sequences)" \l "d342517262ff52ffd3566bd8f520b36723486aa3"</w:instrText>
      </w:r>
      <w:r>
        <w:fldChar w:fldCharType="separate"/>
      </w:r>
      <w:r>
        <w:rPr>
          <w:rStyle w:val="InternetLink"/>
        </w:rPr>
        <w:t>View Context</w:t>
      </w:r>
      <w:r>
        <w:fldChar w:fldCharType="end"/>
      </w:r>
      <w:r>
        <w:rPr>
          <w:rFonts w:ascii="Arial;Helvetica;sans-serif" w:hAnsi="Arial;Helvetica;sans-serif"/>
          <w:b w:val="false"/>
          <w:i w:val="false"/>
          <w:caps w:val="false"/>
          <w:smallCaps w:val="false"/>
          <w:color w:val="123654"/>
          <w:spacing w:val="0"/>
          <w:sz w:val="20"/>
        </w:rPr>
        <w:t>].</w:t>
      </w:r>
    </w:p>
    <w:p>
      <w:pPr>
        <w:pStyle w:val="TextBody"/>
        <w:rPr/>
      </w:pPr>
      <w:r>
        <w:rPr/>
      </w:r>
    </w:p>
    <w:p>
      <w:pPr>
        <w:pStyle w:val="TextBody"/>
        <w:widowControl/>
        <w:ind w:left="0" w:right="0" w:hanging="0"/>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Citation Request:</w:t>
      </w:r>
    </w:p>
    <w:p>
      <w:pPr>
        <w:pStyle w:val="TextBody"/>
        <w:widowControl/>
        <w:ind w:left="0" w:right="0" w:hanging="0"/>
        <w:rPr/>
      </w:pPr>
      <w:r>
        <w:rPr>
          <w:rFonts w:ascii="Arial;Helvetica;sans-serif" w:hAnsi="Arial;Helvetica;sans-serif"/>
          <w:b w:val="false"/>
          <w:i w:val="false"/>
          <w:caps w:val="false"/>
          <w:smallCaps w:val="false"/>
          <w:color w:val="123654"/>
          <w:spacing w:val="0"/>
          <w:sz w:val="20"/>
        </w:rPr>
        <w:t>Please refer to the Machine Learning Repository's </w:t>
      </w:r>
      <w:hyperlink r:id="rId42">
        <w:r>
          <w:rPr>
            <w:rStyle w:val="InternetLink"/>
          </w:rPr>
          <w:t>citation policy</w:t>
        </w:r>
      </w:hyperlink>
    </w:p>
    <w:p>
      <w:pPr>
        <w:pStyle w:val="Normal"/>
        <w:rPr>
          <w:rStyle w:val="StrongEmphasis"/>
          <w:b/>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ucida Sans Unicode" w:cs="Lohit Devanagari"/>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Lucida Sans Unicode" w:cs="Lohit Devanagari"/>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Lucida Sans Unicode"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Molecular+Biology+(Splice-junction+Gene+Sequences)" TargetMode="External"/><Relationship Id="rId3" Type="http://schemas.openxmlformats.org/officeDocument/2006/relationships/hyperlink" Target="https://archive.ics.uci.edu/ml/machine-learning-databases/molecular-biology/splice-junction-gene-sequences/" TargetMode="External"/><Relationship Id="rId4" Type="http://schemas.openxmlformats.org/officeDocument/2006/relationships/hyperlink" Target="https://archive.ics.uci.edu/ml/machine-learning-databases/molecular-biology/splice-junction-gene-sequences/splice.names" TargetMode="External"/><Relationship Id="rId5" Type="http://schemas.openxmlformats.org/officeDocument/2006/relationships/image" Target="media/image1.jpeg"/><Relationship Id="rId6" Type="http://schemas.openxmlformats.org/officeDocument/2006/relationships/hyperlink" Target="http://rexa.info/paper/fa41b2382523a41a7842eac3dda0625f7869897a" TargetMode="External"/><Relationship Id="rId7" Type="http://schemas.openxmlformats.org/officeDocument/2006/relationships/hyperlink" Target="http://rexa.info/paper/a3d216a5362c7604c773adb70488eb93a41ded2d" TargetMode="External"/><Relationship Id="rId8" Type="http://schemas.openxmlformats.org/officeDocument/2006/relationships/hyperlink" Target="http://rexa.info/paper/176aca97d8e0ff00dac888df879d3fa4aed603ca" TargetMode="External"/><Relationship Id="rId9" Type="http://schemas.openxmlformats.org/officeDocument/2006/relationships/hyperlink" Target="http://rexa.info/paper/38d40238d3c994c7d26766af72b2de9e327ee5f5" TargetMode="External"/><Relationship Id="rId10" Type="http://schemas.openxmlformats.org/officeDocument/2006/relationships/image" Target="media/image2.jpeg"/><Relationship Id="rId11" Type="http://schemas.openxmlformats.org/officeDocument/2006/relationships/hyperlink" Target="http://rexa.info/paper/4f29b49d0d83edf9e0a21d102467df5ffdf64fcb" TargetMode="External"/><Relationship Id="rId12" Type="http://schemas.openxmlformats.org/officeDocument/2006/relationships/hyperlink" Target="http://rexa.info/paper/f877b9d13dc80d6292789ea42108706658a378ab" TargetMode="External"/><Relationship Id="rId13" Type="http://schemas.openxmlformats.org/officeDocument/2006/relationships/hyperlink" Target="http://rexa.info/paper/6a6b4ca13137132e00185012fd7c4667ff964769" TargetMode="External"/><Relationship Id="rId14" Type="http://schemas.openxmlformats.org/officeDocument/2006/relationships/hyperlink" Target="http://rexa.info/paper/d25c86892bfa80849ecd629de4c45936a52a1590" TargetMode="External"/><Relationship Id="rId15" Type="http://schemas.openxmlformats.org/officeDocument/2006/relationships/hyperlink" Target="http://rexa.info/paper/75f0f1770a1317fc5ab730609fa1e3cf642794f6" TargetMode="External"/><Relationship Id="rId16" Type="http://schemas.openxmlformats.org/officeDocument/2006/relationships/hyperlink" Target="http://rexa.info/paper/f006e50cdba5e00538e2b48452e1d0bab8ed02b9" TargetMode="External"/><Relationship Id="rId17" Type="http://schemas.openxmlformats.org/officeDocument/2006/relationships/hyperlink" Target="http://rexa.info/paper/0cedee7ef9325127fb946dcdddf8795644e28335" TargetMode="External"/><Relationship Id="rId18" Type="http://schemas.openxmlformats.org/officeDocument/2006/relationships/hyperlink" Target="http://rexa.info/paper/ca1c2b19089d0ca0d4069b04c35d6f6c4312db79" TargetMode="External"/><Relationship Id="rId19" Type="http://schemas.openxmlformats.org/officeDocument/2006/relationships/hyperlink" Target="http://rexa.info/paper/111c890abe7dc9f26523d1c59b7a75a04b69256b" TargetMode="External"/><Relationship Id="rId20" Type="http://schemas.openxmlformats.org/officeDocument/2006/relationships/hyperlink" Target="http://rexa.info/paper/4eff6dda32898a8bdc8268d2a790a96b93f2e262" TargetMode="External"/><Relationship Id="rId21" Type="http://schemas.openxmlformats.org/officeDocument/2006/relationships/hyperlink" Target="http://rexa.info/paper/4a338bab101f6721ea5dc4d76de5456721fbf0a3" TargetMode="External"/><Relationship Id="rId22" Type="http://schemas.openxmlformats.org/officeDocument/2006/relationships/hyperlink" Target="http://rexa.info/paper/70172e511a3bc27c7927119a3b2a3405fbad99e0" TargetMode="External"/><Relationship Id="rId23" Type="http://schemas.openxmlformats.org/officeDocument/2006/relationships/hyperlink" Target="http://rexa.info/paper/58642563848aaece947320829da7d338224cb8b3" TargetMode="External"/><Relationship Id="rId24" Type="http://schemas.openxmlformats.org/officeDocument/2006/relationships/hyperlink" Target="http://rexa.info/paper/f820b10d6723504d343c9741f7333fbc3393fd05" TargetMode="External"/><Relationship Id="rId25" Type="http://schemas.openxmlformats.org/officeDocument/2006/relationships/hyperlink" Target="http://rexa.info/paper/2b8c2489b0b9622471466385b6d5c1cf703bd4c8" TargetMode="External"/><Relationship Id="rId26" Type="http://schemas.openxmlformats.org/officeDocument/2006/relationships/hyperlink" Target="http://rexa.info/paper/50aaf7ca6a34bd2aadbd1cb87235bda27650bb18" TargetMode="External"/><Relationship Id="rId27" Type="http://schemas.openxmlformats.org/officeDocument/2006/relationships/hyperlink" Target="http://rexa.info/paper/3ce34105eca9577e44de969f9ef94ca3cdcad3d9" TargetMode="External"/><Relationship Id="rId28" Type="http://schemas.openxmlformats.org/officeDocument/2006/relationships/hyperlink" Target="http://rexa.info/paper/f23deedb8c4f89030e936b0d119459b41278db96" TargetMode="External"/><Relationship Id="rId29" Type="http://schemas.openxmlformats.org/officeDocument/2006/relationships/hyperlink" Target="http://rexa.info/paper/8fe250a2bb9e7ca099dfd176a16a08f24bb95939" TargetMode="External"/><Relationship Id="rId30" Type="http://schemas.openxmlformats.org/officeDocument/2006/relationships/hyperlink" Target="http://rexa.info/paper/c334718c7e09d2671197a8c9526018de1d816903" TargetMode="External"/><Relationship Id="rId31" Type="http://schemas.openxmlformats.org/officeDocument/2006/relationships/hyperlink" Target="http://rexa.info/paper/6a9871da32f3042a5de9082a36a11d5aecda6df8" TargetMode="External"/><Relationship Id="rId32" Type="http://schemas.openxmlformats.org/officeDocument/2006/relationships/hyperlink" Target="http://rexa.info/paper/349644828ad3c8da8e1a15eee5aec0d704db34a1" TargetMode="External"/><Relationship Id="rId33" Type="http://schemas.openxmlformats.org/officeDocument/2006/relationships/hyperlink" Target="http://rexa.info/paper/3b8e310b092f79f90f6c4aac5dda1185d5a1aac7" TargetMode="External"/><Relationship Id="rId34" Type="http://schemas.openxmlformats.org/officeDocument/2006/relationships/hyperlink" Target="http://rexa.info/paper/939595ca638eb3390e9bb9c4e6cc1352163cbf18" TargetMode="External"/><Relationship Id="rId35" Type="http://schemas.openxmlformats.org/officeDocument/2006/relationships/hyperlink" Target="http://rexa.info/paper/379f34d22ceaf54a97c9a95f0cb0e6eb2a44c1dc" TargetMode="External"/><Relationship Id="rId36" Type="http://schemas.openxmlformats.org/officeDocument/2006/relationships/hyperlink" Target="http://rexa.info/paper/a27103950b8d7098468bd52f2af1d033fed91419" TargetMode="External"/><Relationship Id="rId37" Type="http://schemas.openxmlformats.org/officeDocument/2006/relationships/hyperlink" Target="http://rexa.info/paper/49c65a0dfe258129414e27f6a3b7c42b7fbe426e" TargetMode="External"/><Relationship Id="rId38" Type="http://schemas.openxmlformats.org/officeDocument/2006/relationships/hyperlink" Target="http://rexa.info/paper/42ba5137ab9d88dc1eae5caac18cb6a1818ae700" TargetMode="External"/><Relationship Id="rId39" Type="http://schemas.openxmlformats.org/officeDocument/2006/relationships/hyperlink" Target="http://rexa.info/paper/da329267bf8880c2becb15eae121a5b002347349" TargetMode="External"/><Relationship Id="rId40" Type="http://schemas.openxmlformats.org/officeDocument/2006/relationships/hyperlink" Target="http://rexa.info/paper/d342517262ff52ffd3566bd8f520b36723486aa3" TargetMode="External"/><Relationship Id="rId41" Type="http://schemas.openxmlformats.org/officeDocument/2006/relationships/hyperlink" Target="http://rexa.info/paper/d342517262ff52ffd3566bd8f520b36723486aa3" TargetMode="External"/><Relationship Id="rId42" Type="http://schemas.openxmlformats.org/officeDocument/2006/relationships/hyperlink" Target="https://archive.ics.uci.edu/ml/citation_policy.html" TargetMode="Externa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LibreOffice/5.3.6.1$Linux_X86_64 LibreOffice_project/30$Build-1</Application>
  <Pages>5</Pages>
  <Words>1222</Words>
  <Characters>7244</Characters>
  <CharactersWithSpaces>8506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2019-06-03T11:00:31Z</dcterms:created>
  <dc:creator/>
  <dc:description/>
  <dc:language>en-US</dc:language>
  <cp:lastModifiedBy/>
  <cp:lastPrinted>2019-06-14T16:18:01Z</cp:lastPrinted>
  <dcterms:modified xsi:type="dcterms:W3CDTF">2019-06-17T15:07:39Z</dcterms:modified>
  <cp:revision>21</cp:revision>
  <dc:subject/>
  <dc:title/>
</cp:coreProperties>
</file>