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b/>
          <w:sz w:val="36"/>
        </w:rPr>
        <w:t>ISO 9001:2015 QUALITY ASSURANCE PIPELINE PROCESS</w:t>
      </w:r>
    </w:p>
    <!-- Scenario Table -->
    <w:p>
      <w:r>
        <w:rPr>
          <w:b/>
        </w:rPr>
        <w:t>Forecast &amp; Milestone Data:</w:t>
      </w:r>
    </w:p>
    <w:tbl>
      <w:tblPr>
        <w:tblBorders>
          <w:top w:val="double" w:sz="12" w:space="0" w:color="4472C4"/>
          <w:left w:val="double" w:sz="12" w:space="0" w:color="4472C4"/>
          <w:bottom w:val="double" w:sz="12" w:space="0" w:color="4472C4"/>
          <w:right w:val="double" w:sz="12" w:space="0" w:color="4472C4"/>
          <w:insideH w:val="single" w:sz="8" w:space="0" w:color="4472C4"/>
          <w:insideV w:val="single" w:sz="8" w:space="0" w:color="4472C4"/>
        </w:tblBorders>
      </w:tblPr>
      <w:tr>
        <w:tc>
          <w:tcPr>
            <w:shd w:val="clear" w:color="auto" w:fill="4472C4"/>
          </w:tcPr>
          <w:p>
            <w:r>
              <w:rPr>
                <w:b/>
                <w:color w:val="FFFFFF"/>
              </w:rPr>
              <w:t>Phase / Qtr</w:t>
            </w:r>
          </w:p>
        </w:tc>
        <w:tc>
          <w:tcPr>
            <w:shd w:val="clear" w:color="auto" w:fill="4472C4"/>
          </w:tcPr>
          <w:p>
            <w:r>
              <w:rPr>
                <w:b/>
                <w:color w:val="FFFFFF"/>
              </w:rPr>
              <w:t>Target Metric</w:t>
            </w:r>
          </w:p>
        </w:tc>
      </w:tr>
      <w:tr>
        <w:tc>
          <w:p>
            <w:r>
              <w:t>Stage 1</w:t>
            </w:r>
          </w:p>
        </w:tc>
        <w:tc>
          <w:p>
            <w:r>
              <w:t>Initial Rollout</w:t>
            </w:r>
          </w:p>
        </w:tc>
      </w:tr>
      <w:tr>
        <w:tc>
          <w:p>
            <w:r>
              <w:t>Stage 2</w:t>
            </w:r>
          </w:p>
        </w:tc>
        <w:tc>
          <w:p>
            <w:r>
              <w:t>Full Operational Delivery</w:t>
            </w:r>
          </w:p>
        </w:tc>
      </w:tr>
    </w:tbl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Chevron Process</a:t>
          </a:r>
        </a:p>
      </dgm:t>
    </dgm:pt>
    <dgm:pt modelId="node_2" type="node">
      <dgm:prSet/>
      <dgm:spPr/>
      <dgm:t>
        <a:bodyPr/>
        <a:p>
          <a:r>
            <a:t>Node 2: Basic Chevron Process</a:t>
          </a:r>
        </a:p>
      </dgm:t>
    </dgm:pt>
    <dgm:pt modelId="node_3" type="node">
      <dgm:prSet/>
      <dgm:spPr/>
      <dgm:t>
        <a:bodyPr/>
        <a:p>
          <a:r>
            <a:t>Node 3: Basic Chevron Process</a:t>
          </a:r>
        </a:p>
      </dgm:t>
    </dgm:pt>
    <dgm:pt modelId="node_4" type="node">
      <dgm:prSet/>
      <dgm:spPr/>
      <dgm:t>
        <a:bodyPr/>
        <a:p>
          <a:r>
            <a:t>Node 4: Basic Chevron Process</a:t>
          </a:r>
        </a:p>
      </dgm:t>
    </dgm:pt>
    <dgm:pt modelId="node_5" type="node">
      <dgm:prSet/>
      <dgm:spPr/>
      <dgm:t>
        <a:bodyPr/>
        <a:p>
          <a:r>
            <a:t>Node 5: Basic Chevron Process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  <dgm:cxn modelId="cxn_4" type="parOf" srcId="node_1" destId="node_5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chevron">
          <a:avLst/>
        </a:prstGeom>
        <a:solidFill>
          <a:schemeClr val="accent1"/>
        </a:solidFill>
      </dgm:spPr>
      <dgm:txBody>
        <a:bodyPr/>
        <a:p>
          <a:r>
            <a:t>Item 1: Basic Chevron Process</a:t>
          </a:r>
        </a:p>
      </dgm:txBody>
    </dgm:sp>
    <dgm:sp modelId="node_2">
      <dgm:spPr>
        <a:xfrm>
          <a:off x="1905000" y="635000"/>
          <a:ext cx="1143000" cy="762000"/>
        </a:xfrm>
        <a:prstGeom prst="chevron">
          <a:avLst/>
        </a:prstGeom>
        <a:solidFill>
          <a:schemeClr val="accent2"/>
        </a:solidFill>
      </dgm:spPr>
      <dgm:txBody>
        <a:bodyPr/>
        <a:p>
          <a:r>
            <a:t>Item 2: Basic Chevron Process</a:t>
          </a:r>
        </a:p>
      </dgm:txBody>
    </dgm:sp>
    <dgm:sp modelId="node_3">
      <dgm:spPr>
        <a:xfrm>
          <a:off x="3175000" y="635000"/>
          <a:ext cx="1143000" cy="762000"/>
        </a:xfrm>
        <a:prstGeom prst="chevron">
          <a:avLst/>
        </a:prstGeom>
        <a:solidFill>
          <a:schemeClr val="accent3"/>
        </a:solidFill>
      </dgm:spPr>
      <dgm:txBody>
        <a:bodyPr/>
        <a:p>
          <a:r>
            <a:t>Item 3: Basic Chevron Process</a:t>
          </a:r>
        </a:p>
      </dgm:txBody>
    </dgm:sp>
    <dgm:sp modelId="node_4">
      <dgm:spPr>
        <a:xfrm>
          <a:off x="4445000" y="635000"/>
          <a:ext cx="1143000" cy="762000"/>
        </a:xfrm>
        <a:prstGeom prst="chevron">
          <a:avLst/>
        </a:prstGeom>
        <a:solidFill>
          <a:schemeClr val="accent4"/>
        </a:solidFill>
      </dgm:spPr>
      <dgm:txBody>
        <a:bodyPr/>
        <a:p>
          <a:r>
            <a:t>Item 4: Basic Chevron Process</a:t>
          </a:r>
        </a:p>
      </dgm:txBody>
    </dgm:sp>
    <dgm:sp modelId="node_5">
      <dgm:spPr>
        <a:xfrm>
          <a:off x="1215000" y="1635000"/>
          <a:ext cx="1143000" cy="762000"/>
        </a:xfrm>
        <a:prstGeom prst="chevron">
          <a:avLst/>
        </a:prstGeom>
        <a:solidFill>
          <a:schemeClr val="accent5"/>
        </a:solidFill>
      </dgm:spPr>
      <dgm:txBody>
        <a:bodyPr/>
        <a:p>
          <a:r>
            <a:t>Item 5: Basic Chevron Process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