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38"/>
        </w:rPr>
        <w:t>TÓM TẮT DỰ ÁN NGHIÊN CỨU</w:t>
      </w:r>
    </w:p>
    <w:p>
      <w:pPr>
        <w:jc w:val="center"/>
      </w:pPr>
      <w:r>
        <w:rPr>
          <w:b/>
          <w:sz w:val="30"/>
        </w:rPr>
        <w:t>Benchmark các bộ phát hiện vật thể 3D LiDAR trên Boreas</w:t>
      </w:r>
    </w:p>
    <w:p>
      <w:pPr>
        <w:jc w:val="center"/>
      </w:pPr>
      <w:r>
        <w:rPr>
          <w:i/>
          <w:sz w:val="21"/>
        </w:rPr>
        <w:t>Accuracy – Efficiency – Range Robustness – LiDAR Beam Sparsity</w:t>
      </w:r>
    </w:p>
    <w:tbl>
      <w:tblPr>
        <w:tblW w:type="auto" w:w="0"/>
        <w:jc w:val="center"/>
        <w:tblLook w:firstColumn="1" w:firstRow="1" w:lastColumn="0" w:lastRow="0" w:noHBand="0" w:noVBand="1" w:val="04A0"/>
      </w:tblPr>
      <w:tblGrid>
        <w:gridCol w:w="10166"/>
      </w:tblGrid>
      <w:tr>
        <w:trPr>
          <w:tblHeader w:val="true"/>
        </w:trPr>
        <w:tc>
          <w:tcPr>
            <w:tcW w:type="dxa" w:w="10166"/>
            <w:shd w:fill="EEF5FA"/>
            <w:tcMar>
              <w:top w:w="130" w:type="dxa"/>
              <w:start w:w="150" w:type="dxa"/>
              <w:bottom w:w="130" w:type="dxa"/>
              <w:end w:w="150" w:type="dxa"/>
            </w:tcMar>
          </w:tcPr>
          <w:p>
            <w:pPr>
              <w:spacing w:after="0"/>
            </w:pPr>
            <w:r>
              <w:rPr>
                <w:sz w:val="19"/>
              </w:rPr>
              <w:t>Dự án xây dựng một benchmark có kiểm soát cho các kiến trúc phát hiện vật thể 3D LiDAR tiêu biểu (PointPillars, SECOND, CenterPoint, VoxelNeXt, PV-RCNN và một lightweight baseline) trên Boreas-Objects-V1. Trọng tâm không phải đề xuất model mới, mà là phân tích có hệ thống mối quan hệ giữa độ chính xác, chi phí tính toán, khả năng phát hiện theo khoảng cách và độ bền khi giảm mật độ tia LiDAR từ 128 xuống 64/32/16 beam. Nếu triển khai đầy đủ, dự án phù hợp với IEEE IV/ITSC và có cơ sở thử journal Q1/Q2 phù hợp như Robotics and Autonomous Systems; các venue mạnh hơn như RA-L hoặc IEEE T-IV nên được xem là stretch target.</w:t>
            </w:r>
          </w:p>
        </w:tc>
      </w:tr>
    </w:tbl>
    <w:p/>
    <w:p>
      <w:pPr>
        <w:pStyle w:val="Heading1"/>
      </w:pPr>
      <w:r>
        <w:t>1. Bài toán và mục tiêu nghiên cứu</w:t>
      </w:r>
    </w:p>
    <w:p>
      <w:r>
        <w:rPr>
          <w:b/>
        </w:rPr>
        <w:t xml:space="preserve">Bối cảnh. </w:t>
      </w:r>
      <w:r>
        <w:t>Boreas là bộ dữ liệu autonomous driving thu trên cùng tuyến đường qua nhiều mùa và điều kiện thời tiết, sử dụng LiDAR 128-beam. Tuy nhiên, phần có nhãn 3D object detection (Boreas-Objects-V1) là một subset được gán nhãn trong điều kiện nắng. Vì vậy, dự án không nên tuyên bố trực tiếp rằng đã đánh giá cross-season detection; framing chính xác là benchmark trên Boreas-Objects-V1 và đánh giá robustness dưới suy giảm point cloud có kiểm soát.</w:t>
      </w:r>
    </w:p>
    <w:p>
      <w:r>
        <w:rPr>
          <w:b/>
        </w:rPr>
        <w:t xml:space="preserve">Mục tiêu tổng quát. </w:t>
      </w:r>
      <w:r>
        <w:t>Xác định kiến trúc LiDAR detector nào tạo ra trade-off tốt nhất giữa accuracy, latency, memory và robustness, thay vì chỉ xếp hạng theo mAP ở điều kiện sạch.</w:t>
      </w:r>
    </w:p>
    <w:p>
      <w:pPr>
        <w:pStyle w:val="Heading1"/>
      </w:pPr>
      <w:r>
        <w:t>2. Câu hỏi nghiên cứu (Research Questions)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512"/>
            <w:shd w:fill="D9EAF7"/>
            <w:vAlign w:val="center"/>
            <w:tcMar>
              <w:top w:w="80" w:type="dxa"/>
              <w:start w:w="80" w:type="dxa"/>
              <w:bottom w:w="80" w:type="dxa"/>
              <w:end w:w="80" w:type="dxa"/>
            </w:tcMar>
          </w:tcPr>
          <w:p>
            <w:r>
              <w:rPr>
                <w:b/>
                <w:sz w:val="18"/>
              </w:rPr>
              <w:t>RQ</w:t>
            </w:r>
          </w:p>
        </w:tc>
        <w:tc>
          <w:tcPr>
            <w:tcW w:type="dxa" w:w="6552"/>
            <w:shd w:fill="D9EAF7"/>
            <w:vAlign w:val="center"/>
            <w:tcMar>
              <w:top w:w="80" w:type="dxa"/>
              <w:start w:w="80" w:type="dxa"/>
              <w:bottom w:w="80" w:type="dxa"/>
              <w:end w:w="80" w:type="dxa"/>
            </w:tcMar>
          </w:tcPr>
          <w:p>
            <w:r>
              <w:rPr>
                <w:b/>
                <w:sz w:val="18"/>
              </w:rPr>
              <w:t>Câu hỏi nghiên cứu</w:t>
            </w:r>
          </w:p>
        </w:tc>
        <w:tc>
          <w:tcPr>
            <w:tcW w:type="dxa" w:w="2880"/>
            <w:shd w:fill="D9EAF7"/>
            <w:vAlign w:val="center"/>
            <w:tcMar>
              <w:top w:w="80" w:type="dxa"/>
              <w:start w:w="80" w:type="dxa"/>
              <w:bottom w:w="80" w:type="dxa"/>
              <w:end w:w="80" w:type="dxa"/>
            </w:tcMar>
          </w:tcPr>
          <w:p>
            <w:r>
              <w:rPr>
                <w:b/>
                <w:sz w:val="18"/>
              </w:rPr>
              <w:t>Đầu ra chính</w:t>
            </w:r>
          </w:p>
        </w:tc>
      </w:tr>
      <w:tr>
        <w:tc>
          <w:tcPr>
            <w:tcW w:type="dxa" w:w="1512"/>
            <w:vAlign w:val="center"/>
            <w:tcMar>
              <w:top w:w="80" w:type="dxa"/>
              <w:start w:w="80" w:type="dxa"/>
              <w:bottom w:w="80" w:type="dxa"/>
              <w:end w:w="80" w:type="dxa"/>
            </w:tcMar>
          </w:tcPr>
          <w:p>
            <w:pPr>
              <w:spacing w:after="0"/>
            </w:pPr>
            <w:r>
              <w:rPr>
                <w:sz w:val="17"/>
              </w:rPr>
              <w:t>RQ1 – Accuracy</w:t>
            </w:r>
          </w:p>
        </w:tc>
        <w:tc>
          <w:tcPr>
            <w:tcW w:type="dxa" w:w="6552"/>
            <w:vAlign w:val="center"/>
            <w:tcMar>
              <w:top w:w="80" w:type="dxa"/>
              <w:start w:w="80" w:type="dxa"/>
              <w:bottom w:w="80" w:type="dxa"/>
              <w:end w:w="80" w:type="dxa"/>
            </w:tcMar>
          </w:tcPr>
          <w:p>
            <w:pPr>
              <w:spacing w:after="0"/>
            </w:pPr>
            <w:r>
              <w:rPr>
                <w:sz w:val="17"/>
              </w:rPr>
              <w:t>Các họ kiến trúc LiDAR detector khác nhau đạt độ chính xác như thế nào trên dữ liệu Boreas 128-beam?</w:t>
            </w:r>
          </w:p>
        </w:tc>
        <w:tc>
          <w:tcPr>
            <w:tcW w:type="dxa" w:w="2880"/>
            <w:vAlign w:val="center"/>
            <w:tcMar>
              <w:top w:w="80" w:type="dxa"/>
              <w:start w:w="80" w:type="dxa"/>
              <w:bottom w:w="80" w:type="dxa"/>
              <w:end w:w="80" w:type="dxa"/>
            </w:tcMar>
          </w:tcPr>
          <w:p>
            <w:pPr>
              <w:spacing w:after="0"/>
            </w:pPr>
            <w:r>
              <w:rPr>
                <w:sz w:val="17"/>
              </w:rPr>
              <w:t>mAP, Car AP, Pedestrian AP, Cyclist AP</w:t>
            </w:r>
          </w:p>
        </w:tc>
      </w:tr>
      <w:tr>
        <w:tc>
          <w:tcPr>
            <w:tcW w:type="dxa" w:w="1512"/>
            <w:vAlign w:val="center"/>
            <w:tcMar>
              <w:top w:w="80" w:type="dxa"/>
              <w:start w:w="80" w:type="dxa"/>
              <w:bottom w:w="80" w:type="dxa"/>
              <w:end w:w="80" w:type="dxa"/>
            </w:tcMar>
          </w:tcPr>
          <w:p>
            <w:pPr>
              <w:spacing w:after="0"/>
            </w:pPr>
            <w:r>
              <w:rPr>
                <w:sz w:val="17"/>
              </w:rPr>
              <w:t>RQ2 – Efficiency</w:t>
            </w:r>
          </w:p>
        </w:tc>
        <w:tc>
          <w:tcPr>
            <w:tcW w:type="dxa" w:w="6552"/>
            <w:vAlign w:val="center"/>
            <w:tcMar>
              <w:top w:w="80" w:type="dxa"/>
              <w:start w:w="80" w:type="dxa"/>
              <w:bottom w:w="80" w:type="dxa"/>
              <w:end w:w="80" w:type="dxa"/>
            </w:tcMar>
          </w:tcPr>
          <w:p>
            <w:pPr>
              <w:spacing w:after="0"/>
            </w:pPr>
            <w:r>
              <w:rPr>
                <w:sz w:val="17"/>
              </w:rPr>
              <w:t>Chi phí tính toán cần thiết để đạt độ chính xác đó là bao nhiêu trên cùng phần cứng và protocol?</w:t>
            </w:r>
          </w:p>
        </w:tc>
        <w:tc>
          <w:tcPr>
            <w:tcW w:type="dxa" w:w="2880"/>
            <w:vAlign w:val="center"/>
            <w:tcMar>
              <w:top w:w="80" w:type="dxa"/>
              <w:start w:w="80" w:type="dxa"/>
              <w:bottom w:w="80" w:type="dxa"/>
              <w:end w:w="80" w:type="dxa"/>
            </w:tcMar>
          </w:tcPr>
          <w:p>
            <w:pPr>
              <w:spacing w:after="0"/>
            </w:pPr>
            <w:r>
              <w:rPr>
                <w:sz w:val="17"/>
              </w:rPr>
              <w:t>Params, latency mean/p50/p95, FPS, peak GPU memory, training GPU-hours</w:t>
            </w:r>
          </w:p>
        </w:tc>
      </w:tr>
      <w:tr>
        <w:tc>
          <w:tcPr>
            <w:tcW w:type="dxa" w:w="1512"/>
            <w:vAlign w:val="center"/>
            <w:tcMar>
              <w:top w:w="80" w:type="dxa"/>
              <w:start w:w="80" w:type="dxa"/>
              <w:bottom w:w="80" w:type="dxa"/>
              <w:end w:w="80" w:type="dxa"/>
            </w:tcMar>
          </w:tcPr>
          <w:p>
            <w:pPr>
              <w:spacing w:after="0"/>
            </w:pPr>
            <w:r>
              <w:rPr>
                <w:sz w:val="17"/>
              </w:rPr>
              <w:t>RQ3 – Range robustness</w:t>
            </w:r>
          </w:p>
        </w:tc>
        <w:tc>
          <w:tcPr>
            <w:tcW w:type="dxa" w:w="6552"/>
            <w:vAlign w:val="center"/>
            <w:tcMar>
              <w:top w:w="80" w:type="dxa"/>
              <w:start w:w="80" w:type="dxa"/>
              <w:bottom w:w="80" w:type="dxa"/>
              <w:end w:w="80" w:type="dxa"/>
            </w:tcMar>
          </w:tcPr>
          <w:p>
            <w:pPr>
              <w:spacing w:after="0"/>
            </w:pPr>
            <w:r>
              <w:rPr>
                <w:sz w:val="17"/>
              </w:rPr>
              <w:t>Các kiến trúc suy giảm khác nhau thế nào khi khoảng cách vật thể tăng?</w:t>
            </w:r>
          </w:p>
        </w:tc>
        <w:tc>
          <w:tcPr>
            <w:tcW w:type="dxa" w:w="2880"/>
            <w:vAlign w:val="center"/>
            <w:tcMar>
              <w:top w:w="80" w:type="dxa"/>
              <w:start w:w="80" w:type="dxa"/>
              <w:bottom w:w="80" w:type="dxa"/>
              <w:end w:w="80" w:type="dxa"/>
            </w:tcMar>
          </w:tcPr>
          <w:p>
            <w:pPr>
              <w:spacing w:after="0"/>
            </w:pPr>
            <w:r>
              <w:rPr>
                <w:sz w:val="17"/>
              </w:rPr>
              <w:t>AP tại 0–20 m, 20–40 m, 40–60 m, &gt;60 m; độ suy giảm theo range</w:t>
            </w:r>
          </w:p>
        </w:tc>
      </w:tr>
      <w:tr>
        <w:tc>
          <w:tcPr>
            <w:tcW w:type="dxa" w:w="1512"/>
            <w:vAlign w:val="center"/>
            <w:tcMar>
              <w:top w:w="80" w:type="dxa"/>
              <w:start w:w="80" w:type="dxa"/>
              <w:bottom w:w="80" w:type="dxa"/>
              <w:end w:w="80" w:type="dxa"/>
            </w:tcMar>
          </w:tcPr>
          <w:p>
            <w:pPr>
              <w:spacing w:after="0"/>
            </w:pPr>
            <w:r>
              <w:rPr>
                <w:sz w:val="17"/>
              </w:rPr>
              <w:t>RQ4 – Beam sparsity robustness</w:t>
            </w:r>
          </w:p>
        </w:tc>
        <w:tc>
          <w:tcPr>
            <w:tcW w:type="dxa" w:w="6552"/>
            <w:vAlign w:val="center"/>
            <w:tcMar>
              <w:top w:w="80" w:type="dxa"/>
              <w:start w:w="80" w:type="dxa"/>
              <w:bottom w:w="80" w:type="dxa"/>
              <w:end w:w="80" w:type="dxa"/>
            </w:tcMar>
          </w:tcPr>
          <w:p>
            <w:pPr>
              <w:spacing w:after="0"/>
            </w:pPr>
            <w:r>
              <w:rPr>
                <w:sz w:val="17"/>
              </w:rPr>
              <w:t>Thứ hạng model có được giữ nguyên khi LiDAR 128-beam bị giảm còn 64/32/16 beam hay không?</w:t>
            </w:r>
          </w:p>
        </w:tc>
        <w:tc>
          <w:tcPr>
            <w:tcW w:type="dxa" w:w="2880"/>
            <w:vAlign w:val="center"/>
            <w:tcMar>
              <w:top w:w="80" w:type="dxa"/>
              <w:start w:w="80" w:type="dxa"/>
              <w:bottom w:w="80" w:type="dxa"/>
              <w:end w:w="80" w:type="dxa"/>
            </w:tcMar>
          </w:tcPr>
          <w:p>
            <w:pPr>
              <w:spacing w:after="0"/>
            </w:pPr>
            <w:r>
              <w:rPr>
                <w:sz w:val="17"/>
              </w:rPr>
              <w:t>AP128/AP64/AP32/AP16, relative degradation, ranking stability</w:t>
            </w:r>
          </w:p>
        </w:tc>
      </w:tr>
    </w:tbl>
    <w:p>
      <w:pPr>
        <w:spacing w:after="0"/>
      </w:pPr>
    </w:p>
    <w:p>
      <w:pPr>
        <w:pStyle w:val="Heading1"/>
      </w:pPr>
      <w:r>
        <w:t>3. Các model và lý do lựa chọn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944"/>
            <w:shd w:fill="D9EAF7"/>
            <w:vAlign w:val="center"/>
            <w:tcMar>
              <w:top w:w="80" w:type="dxa"/>
              <w:start w:w="80" w:type="dxa"/>
              <w:bottom w:w="80" w:type="dxa"/>
              <w:end w:w="80" w:type="dxa"/>
            </w:tcMar>
          </w:tcPr>
          <w:p>
            <w:r>
              <w:rPr>
                <w:b/>
                <w:sz w:val="18"/>
              </w:rPr>
              <w:t>Model</w:t>
            </w:r>
          </w:p>
        </w:tc>
        <w:tc>
          <w:tcPr>
            <w:tcW w:type="dxa" w:w="2880"/>
            <w:shd w:fill="D9EAF7"/>
            <w:vAlign w:val="center"/>
            <w:tcMar>
              <w:top w:w="80" w:type="dxa"/>
              <w:start w:w="80" w:type="dxa"/>
              <w:bottom w:w="80" w:type="dxa"/>
              <w:end w:w="80" w:type="dxa"/>
            </w:tcMar>
          </w:tcPr>
          <w:p>
            <w:r>
              <w:rPr>
                <w:b/>
                <w:sz w:val="18"/>
              </w:rPr>
              <w:t>Họ kiến trúc</w:t>
            </w:r>
          </w:p>
        </w:tc>
        <w:tc>
          <w:tcPr>
            <w:tcW w:type="dxa" w:w="6192"/>
            <w:shd w:fill="D9EAF7"/>
            <w:vAlign w:val="center"/>
            <w:tcMar>
              <w:top w:w="80" w:type="dxa"/>
              <w:start w:w="80" w:type="dxa"/>
              <w:bottom w:w="80" w:type="dxa"/>
              <w:end w:w="80" w:type="dxa"/>
            </w:tcMar>
          </w:tcPr>
          <w:p>
            <w:r>
              <w:rPr>
                <w:b/>
                <w:sz w:val="18"/>
              </w:rPr>
              <w:t>Vai trò trong benchmark</w:t>
            </w:r>
          </w:p>
        </w:tc>
      </w:tr>
      <w:tr>
        <w:tc>
          <w:tcPr>
            <w:tcW w:type="dxa" w:w="1944"/>
            <w:vAlign w:val="center"/>
            <w:tcMar>
              <w:top w:w="80" w:type="dxa"/>
              <w:start w:w="80" w:type="dxa"/>
              <w:bottom w:w="80" w:type="dxa"/>
              <w:end w:w="80" w:type="dxa"/>
            </w:tcMar>
          </w:tcPr>
          <w:p>
            <w:pPr>
              <w:spacing w:after="0"/>
            </w:pPr>
            <w:r>
              <w:rPr>
                <w:sz w:val="17"/>
              </w:rPr>
              <w:t>PointPillars</w:t>
            </w:r>
          </w:p>
        </w:tc>
        <w:tc>
          <w:tcPr>
            <w:tcW w:type="dxa" w:w="2880"/>
            <w:vAlign w:val="center"/>
            <w:tcMar>
              <w:top w:w="80" w:type="dxa"/>
              <w:start w:w="80" w:type="dxa"/>
              <w:bottom w:w="80" w:type="dxa"/>
              <w:end w:w="80" w:type="dxa"/>
            </w:tcMar>
          </w:tcPr>
          <w:p>
            <w:pPr>
              <w:spacing w:after="0"/>
            </w:pPr>
            <w:r>
              <w:rPr>
                <w:sz w:val="17"/>
              </w:rPr>
              <w:t>Pillar-based</w:t>
            </w:r>
          </w:p>
        </w:tc>
        <w:tc>
          <w:tcPr>
            <w:tcW w:type="dxa" w:w="6192"/>
            <w:vAlign w:val="center"/>
            <w:tcMar>
              <w:top w:w="80" w:type="dxa"/>
              <w:start w:w="80" w:type="dxa"/>
              <w:bottom w:w="80" w:type="dxa"/>
              <w:end w:w="80" w:type="dxa"/>
            </w:tcMar>
          </w:tcPr>
          <w:p>
            <w:pPr>
              <w:spacing w:after="0"/>
            </w:pPr>
            <w:r>
              <w:rPr>
                <w:sz w:val="17"/>
              </w:rPr>
              <w:t>Baseline nhẹ, tốc độ cao, đại diện pillar representation</w:t>
            </w:r>
          </w:p>
        </w:tc>
      </w:tr>
      <w:tr>
        <w:tc>
          <w:tcPr>
            <w:tcW w:type="dxa" w:w="1944"/>
            <w:vAlign w:val="center"/>
            <w:tcMar>
              <w:top w:w="80" w:type="dxa"/>
              <w:start w:w="80" w:type="dxa"/>
              <w:bottom w:w="80" w:type="dxa"/>
              <w:end w:w="80" w:type="dxa"/>
            </w:tcMar>
          </w:tcPr>
          <w:p>
            <w:pPr>
              <w:spacing w:after="0"/>
            </w:pPr>
            <w:r>
              <w:rPr>
                <w:sz w:val="17"/>
              </w:rPr>
              <w:t>SECOND</w:t>
            </w:r>
          </w:p>
        </w:tc>
        <w:tc>
          <w:tcPr>
            <w:tcW w:type="dxa" w:w="2880"/>
            <w:vAlign w:val="center"/>
            <w:tcMar>
              <w:top w:w="80" w:type="dxa"/>
              <w:start w:w="80" w:type="dxa"/>
              <w:bottom w:w="80" w:type="dxa"/>
              <w:end w:w="80" w:type="dxa"/>
            </w:tcMar>
          </w:tcPr>
          <w:p>
            <w:pPr>
              <w:spacing w:after="0"/>
            </w:pPr>
            <w:r>
              <w:rPr>
                <w:sz w:val="17"/>
              </w:rPr>
              <w:t>Sparse voxel CNN</w:t>
            </w:r>
          </w:p>
        </w:tc>
        <w:tc>
          <w:tcPr>
            <w:tcW w:type="dxa" w:w="6192"/>
            <w:vAlign w:val="center"/>
            <w:tcMar>
              <w:top w:w="80" w:type="dxa"/>
              <w:start w:w="80" w:type="dxa"/>
              <w:bottom w:w="80" w:type="dxa"/>
              <w:end w:w="80" w:type="dxa"/>
            </w:tcMar>
          </w:tcPr>
          <w:p>
            <w:pPr>
              <w:spacing w:after="0"/>
            </w:pPr>
            <w:r>
              <w:rPr>
                <w:sz w:val="17"/>
              </w:rPr>
              <w:t>Baseline voxel cổ điển và rất phổ biến</w:t>
            </w:r>
          </w:p>
        </w:tc>
      </w:tr>
      <w:tr>
        <w:tc>
          <w:tcPr>
            <w:tcW w:type="dxa" w:w="1944"/>
            <w:vAlign w:val="center"/>
            <w:tcMar>
              <w:top w:w="80" w:type="dxa"/>
              <w:start w:w="80" w:type="dxa"/>
              <w:bottom w:w="80" w:type="dxa"/>
              <w:end w:w="80" w:type="dxa"/>
            </w:tcMar>
          </w:tcPr>
          <w:p>
            <w:pPr>
              <w:spacing w:after="0"/>
            </w:pPr>
            <w:r>
              <w:rPr>
                <w:sz w:val="17"/>
              </w:rPr>
              <w:t>CenterPoint</w:t>
            </w:r>
          </w:p>
        </w:tc>
        <w:tc>
          <w:tcPr>
            <w:tcW w:type="dxa" w:w="2880"/>
            <w:vAlign w:val="center"/>
            <w:tcMar>
              <w:top w:w="80" w:type="dxa"/>
              <w:start w:w="80" w:type="dxa"/>
              <w:bottom w:w="80" w:type="dxa"/>
              <w:end w:w="80" w:type="dxa"/>
            </w:tcMar>
          </w:tcPr>
          <w:p>
            <w:pPr>
              <w:spacing w:after="0"/>
            </w:pPr>
            <w:r>
              <w:rPr>
                <w:sz w:val="17"/>
              </w:rPr>
              <w:t>Center-based BEV detector</w:t>
            </w:r>
          </w:p>
        </w:tc>
        <w:tc>
          <w:tcPr>
            <w:tcW w:type="dxa" w:w="6192"/>
            <w:vAlign w:val="center"/>
            <w:tcMar>
              <w:top w:w="80" w:type="dxa"/>
              <w:start w:w="80" w:type="dxa"/>
              <w:bottom w:w="80" w:type="dxa"/>
              <w:end w:w="80" w:type="dxa"/>
            </w:tcMar>
          </w:tcPr>
          <w:p>
            <w:pPr>
              <w:spacing w:after="0"/>
            </w:pPr>
            <w:r>
              <w:rPr>
                <w:sz w:val="17"/>
              </w:rPr>
              <w:t>Đại diện detector anchor-free/center-based mạnh</w:t>
            </w:r>
          </w:p>
        </w:tc>
      </w:tr>
      <w:tr>
        <w:tc>
          <w:tcPr>
            <w:tcW w:type="dxa" w:w="1944"/>
            <w:vAlign w:val="center"/>
            <w:tcMar>
              <w:top w:w="80" w:type="dxa"/>
              <w:start w:w="80" w:type="dxa"/>
              <w:bottom w:w="80" w:type="dxa"/>
              <w:end w:w="80" w:type="dxa"/>
            </w:tcMar>
          </w:tcPr>
          <w:p>
            <w:pPr>
              <w:spacing w:after="0"/>
            </w:pPr>
            <w:r>
              <w:rPr>
                <w:sz w:val="17"/>
              </w:rPr>
              <w:t>VoxelNeXt</w:t>
            </w:r>
          </w:p>
        </w:tc>
        <w:tc>
          <w:tcPr>
            <w:tcW w:type="dxa" w:w="2880"/>
            <w:vAlign w:val="center"/>
            <w:tcMar>
              <w:top w:w="80" w:type="dxa"/>
              <w:start w:w="80" w:type="dxa"/>
              <w:bottom w:w="80" w:type="dxa"/>
              <w:end w:w="80" w:type="dxa"/>
            </w:tcMar>
          </w:tcPr>
          <w:p>
            <w:pPr>
              <w:spacing w:after="0"/>
            </w:pPr>
            <w:r>
              <w:rPr>
                <w:sz w:val="17"/>
              </w:rPr>
              <w:t>Fully sparse voxel</w:t>
            </w:r>
          </w:p>
        </w:tc>
        <w:tc>
          <w:tcPr>
            <w:tcW w:type="dxa" w:w="6192"/>
            <w:vAlign w:val="center"/>
            <w:tcMar>
              <w:top w:w="80" w:type="dxa"/>
              <w:start w:w="80" w:type="dxa"/>
              <w:bottom w:w="80" w:type="dxa"/>
              <w:end w:w="80" w:type="dxa"/>
            </w:tcMar>
          </w:tcPr>
          <w:p>
            <w:pPr>
              <w:spacing w:after="0"/>
            </w:pPr>
            <w:r>
              <w:rPr>
                <w:sz w:val="17"/>
              </w:rPr>
              <w:t>Đại diện hướng fully sparse hiện đại</w:t>
            </w:r>
          </w:p>
        </w:tc>
      </w:tr>
      <w:tr>
        <w:tc>
          <w:tcPr>
            <w:tcW w:type="dxa" w:w="1944"/>
            <w:vAlign w:val="center"/>
            <w:tcMar>
              <w:top w:w="80" w:type="dxa"/>
              <w:start w:w="80" w:type="dxa"/>
              <w:bottom w:w="80" w:type="dxa"/>
              <w:end w:w="80" w:type="dxa"/>
            </w:tcMar>
          </w:tcPr>
          <w:p>
            <w:pPr>
              <w:spacing w:after="0"/>
            </w:pPr>
            <w:r>
              <w:rPr>
                <w:sz w:val="17"/>
              </w:rPr>
              <w:t>PV-RCNN</w:t>
            </w:r>
          </w:p>
        </w:tc>
        <w:tc>
          <w:tcPr>
            <w:tcW w:type="dxa" w:w="2880"/>
            <w:vAlign w:val="center"/>
            <w:tcMar>
              <w:top w:w="80" w:type="dxa"/>
              <w:start w:w="80" w:type="dxa"/>
              <w:bottom w:w="80" w:type="dxa"/>
              <w:end w:w="80" w:type="dxa"/>
            </w:tcMar>
          </w:tcPr>
          <w:p>
            <w:pPr>
              <w:spacing w:after="0"/>
            </w:pPr>
            <w:r>
              <w:rPr>
                <w:sz w:val="17"/>
              </w:rPr>
              <w:t>Voxel + point, two-stage</w:t>
            </w:r>
          </w:p>
        </w:tc>
        <w:tc>
          <w:tcPr>
            <w:tcW w:type="dxa" w:w="6192"/>
            <w:vAlign w:val="center"/>
            <w:tcMar>
              <w:top w:w="80" w:type="dxa"/>
              <w:start w:w="80" w:type="dxa"/>
              <w:bottom w:w="80" w:type="dxa"/>
              <w:end w:w="80" w:type="dxa"/>
            </w:tcMar>
          </w:tcPr>
          <w:p>
            <w:pPr>
              <w:spacing w:after="0"/>
            </w:pPr>
            <w:r>
              <w:rPr>
                <w:sz w:val="17"/>
              </w:rPr>
              <w:t>Đại diện kiến trúc hai giai đoạn có point refinement</w:t>
            </w:r>
          </w:p>
        </w:tc>
      </w:tr>
      <w:tr>
        <w:tc>
          <w:tcPr>
            <w:tcW w:type="dxa" w:w="1944"/>
            <w:vAlign w:val="center"/>
            <w:tcMar>
              <w:top w:w="80" w:type="dxa"/>
              <w:start w:w="80" w:type="dxa"/>
              <w:bottom w:w="80" w:type="dxa"/>
              <w:end w:w="80" w:type="dxa"/>
            </w:tcMar>
          </w:tcPr>
          <w:p>
            <w:pPr>
              <w:spacing w:after="0"/>
            </w:pPr>
            <w:r>
              <w:rPr>
                <w:sz w:val="17"/>
              </w:rPr>
              <w:t>Lightweight baseline</w:t>
            </w:r>
          </w:p>
        </w:tc>
        <w:tc>
          <w:tcPr>
            <w:tcW w:type="dxa" w:w="2880"/>
            <w:vAlign w:val="center"/>
            <w:tcMar>
              <w:top w:w="80" w:type="dxa"/>
              <w:start w:w="80" w:type="dxa"/>
              <w:bottom w:w="80" w:type="dxa"/>
              <w:end w:w="80" w:type="dxa"/>
            </w:tcMar>
          </w:tcPr>
          <w:p>
            <w:pPr>
              <w:spacing w:after="0"/>
            </w:pPr>
            <w:r>
              <w:rPr>
                <w:sz w:val="17"/>
              </w:rPr>
              <w:t>Resource-constrained</w:t>
            </w:r>
          </w:p>
        </w:tc>
        <w:tc>
          <w:tcPr>
            <w:tcW w:type="dxa" w:w="6192"/>
            <w:vAlign w:val="center"/>
            <w:tcMar>
              <w:top w:w="80" w:type="dxa"/>
              <w:start w:w="80" w:type="dxa"/>
              <w:bottom w:w="80" w:type="dxa"/>
              <w:end w:w="80" w:type="dxa"/>
            </w:tcMar>
          </w:tcPr>
          <w:p>
            <w:pPr>
              <w:spacing w:after="0"/>
            </w:pPr>
            <w:r>
              <w:rPr>
                <w:sz w:val="17"/>
              </w:rPr>
              <w:t>Tạo operating point low-compute trên Pareto frontier; không bắt buộc claim model mới</w:t>
            </w:r>
          </w:p>
        </w:tc>
      </w:tr>
    </w:tbl>
    <w:p>
      <w:pPr>
        <w:spacing w:after="0"/>
      </w:pPr>
    </w:p>
    <w:p>
      <w:pPr>
        <w:pStyle w:val="Heading1"/>
      </w:pPr>
      <w:r>
        <w:t>4. Thiết kế fair benchmark</w:t>
      </w:r>
    </w:p>
    <w:p>
      <w:r>
        <w:rPr>
          <w:b/>
        </w:rPr>
        <w:t>Các điều kiện phải cố định giữa model:</w:t>
      </w:r>
    </w:p>
    <w:p>
      <w:pPr>
        <w:pStyle w:val="ListBullet"/>
        <w:spacing w:after="50"/>
      </w:pPr>
      <w:r>
        <w:t>Train/validation/test split theo scene; không random frame để tránh temporal leakage.</w:t>
      </w:r>
    </w:p>
    <w:p>
      <w:pPr>
        <w:pStyle w:val="ListBullet"/>
        <w:spacing w:after="50"/>
      </w:pPr>
      <w:r>
        <w:t>Cùng point-cloud spatial range, class set và evaluation metric.</w:t>
      </w:r>
    </w:p>
    <w:p>
      <w:pPr>
        <w:pStyle w:val="ListBullet"/>
        <w:spacing w:after="50"/>
      </w:pPr>
      <w:r>
        <w:t>Cùng phần cứng, CUDA/PyTorch/spconv environment và precision (FP32 hoặc FP16).</w:t>
      </w:r>
    </w:p>
    <w:p>
      <w:pPr>
        <w:pStyle w:val="ListBullet"/>
        <w:spacing w:after="50"/>
      </w:pPr>
      <w:r>
        <w:t>Inference batch size = 1 khi đo latency triển khai.</w:t>
      </w:r>
    </w:p>
    <w:p>
      <w:pPr>
        <w:pStyle w:val="ListBullet"/>
        <w:spacing w:after="50"/>
      </w:pPr>
      <w:r>
        <w:t>Cùng maximum training budget, seed policy và tuning budget.</w:t>
      </w:r>
    </w:p>
    <w:p>
      <w:pPr>
        <w:pStyle w:val="ListBullet"/>
        <w:spacing w:after="50"/>
      </w:pPr>
      <w:r>
        <w:t>Cùng cách định nghĩa preprocessing, postprocessing và end-to-end timing.</w:t>
      </w:r>
    </w:p>
    <w:p>
      <w:r>
        <w:rPr>
          <w:b/>
        </w:rPr>
        <w:t>Những thành phần có thể model-specific:</w:t>
      </w:r>
    </w:p>
    <w:p>
      <w:pPr>
        <w:pStyle w:val="ListBullet"/>
        <w:spacing w:after="50"/>
      </w:pPr>
      <w:r>
        <w:t>Voxel/pillar size, backbone width, optimizer details, learning rate và NMS/anchor/head parameters.</w:t>
      </w:r>
    </w:p>
    <w:p>
      <w:pPr>
        <w:pStyle w:val="ListBullet"/>
        <w:spacing w:after="50"/>
      </w:pPr>
      <w:r>
        <w:t>Các hyperparameter này nên theo config chính thức/recommended setting hoặc được tuning với cùng ngân sách.</w:t>
      </w:r>
    </w:p>
    <w:p>
      <w:pPr>
        <w:pStyle w:val="Heading1"/>
      </w:pPr>
      <w:r>
        <w:t>5. Metrics và bảng kết quả chính</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520"/>
            <w:shd w:fill="D9EAF7"/>
            <w:vAlign w:val="center"/>
            <w:tcMar>
              <w:top w:w="80" w:type="dxa"/>
              <w:start w:w="80" w:type="dxa"/>
              <w:bottom w:w="80" w:type="dxa"/>
              <w:end w:w="80" w:type="dxa"/>
            </w:tcMar>
          </w:tcPr>
          <w:p>
            <w:r>
              <w:rPr>
                <w:b/>
                <w:sz w:val="18"/>
              </w:rPr>
              <w:t>Nhóm</w:t>
            </w:r>
          </w:p>
        </w:tc>
        <w:tc>
          <w:tcPr>
            <w:tcW w:type="dxa" w:w="8496"/>
            <w:shd w:fill="D9EAF7"/>
            <w:vAlign w:val="center"/>
            <w:tcMar>
              <w:top w:w="80" w:type="dxa"/>
              <w:start w:w="80" w:type="dxa"/>
              <w:bottom w:w="80" w:type="dxa"/>
              <w:end w:w="80" w:type="dxa"/>
            </w:tcMar>
          </w:tcPr>
          <w:p>
            <w:r>
              <w:rPr>
                <w:b/>
                <w:sz w:val="18"/>
              </w:rPr>
              <w:t>Metrics đề xuất</w:t>
            </w:r>
          </w:p>
        </w:tc>
      </w:tr>
      <w:tr>
        <w:tc>
          <w:tcPr>
            <w:tcW w:type="dxa" w:w="2520"/>
            <w:vAlign w:val="center"/>
            <w:tcMar>
              <w:top w:w="80" w:type="dxa"/>
              <w:start w:w="80" w:type="dxa"/>
              <w:bottom w:w="80" w:type="dxa"/>
              <w:end w:w="80" w:type="dxa"/>
            </w:tcMar>
          </w:tcPr>
          <w:p>
            <w:pPr>
              <w:spacing w:after="0"/>
            </w:pPr>
            <w:r>
              <w:rPr>
                <w:sz w:val="17"/>
              </w:rPr>
              <w:t>Accuracy</w:t>
            </w:r>
          </w:p>
        </w:tc>
        <w:tc>
          <w:tcPr>
            <w:tcW w:type="dxa" w:w="8496"/>
            <w:vAlign w:val="center"/>
            <w:tcMar>
              <w:top w:w="80" w:type="dxa"/>
              <w:start w:w="80" w:type="dxa"/>
              <w:bottom w:w="80" w:type="dxa"/>
              <w:end w:w="80" w:type="dxa"/>
            </w:tcMar>
          </w:tcPr>
          <w:p>
            <w:pPr>
              <w:spacing w:after="0"/>
            </w:pPr>
            <w:r>
              <w:rPr>
                <w:sz w:val="17"/>
              </w:rPr>
              <w:t>mAP; Car AP; Pedestrian AP; Cyclist AP</w:t>
            </w:r>
          </w:p>
        </w:tc>
      </w:tr>
      <w:tr>
        <w:tc>
          <w:tcPr>
            <w:tcW w:type="dxa" w:w="2520"/>
            <w:vAlign w:val="center"/>
            <w:tcMar>
              <w:top w:w="80" w:type="dxa"/>
              <w:start w:w="80" w:type="dxa"/>
              <w:bottom w:w="80" w:type="dxa"/>
              <w:end w:w="80" w:type="dxa"/>
            </w:tcMar>
          </w:tcPr>
          <w:p>
            <w:pPr>
              <w:spacing w:after="0"/>
            </w:pPr>
            <w:r>
              <w:rPr>
                <w:sz w:val="17"/>
              </w:rPr>
              <w:t>Efficiency</w:t>
            </w:r>
          </w:p>
        </w:tc>
        <w:tc>
          <w:tcPr>
            <w:tcW w:type="dxa" w:w="8496"/>
            <w:vAlign w:val="center"/>
            <w:tcMar>
              <w:top w:w="80" w:type="dxa"/>
              <w:start w:w="80" w:type="dxa"/>
              <w:bottom w:w="80" w:type="dxa"/>
              <w:end w:w="80" w:type="dxa"/>
            </w:tcMar>
          </w:tcPr>
          <w:p>
            <w:pPr>
              <w:spacing w:after="0"/>
            </w:pPr>
            <w:r>
              <w:rPr>
                <w:sz w:val="17"/>
              </w:rPr>
              <w:t>Params; network latency mean/p50/p95; FPS; peak GPU memory; training GPU-hours</w:t>
            </w:r>
          </w:p>
        </w:tc>
      </w:tr>
      <w:tr>
        <w:tc>
          <w:tcPr>
            <w:tcW w:type="dxa" w:w="2520"/>
            <w:vAlign w:val="center"/>
            <w:tcMar>
              <w:top w:w="80" w:type="dxa"/>
              <w:start w:w="80" w:type="dxa"/>
              <w:bottom w:w="80" w:type="dxa"/>
              <w:end w:w="80" w:type="dxa"/>
            </w:tcMar>
          </w:tcPr>
          <w:p>
            <w:pPr>
              <w:spacing w:after="0"/>
            </w:pPr>
            <w:r>
              <w:rPr>
                <w:sz w:val="17"/>
              </w:rPr>
              <w:t>Sparse-compute diagnostics</w:t>
            </w:r>
          </w:p>
        </w:tc>
        <w:tc>
          <w:tcPr>
            <w:tcW w:type="dxa" w:w="8496"/>
            <w:vAlign w:val="center"/>
            <w:tcMar>
              <w:top w:w="80" w:type="dxa"/>
              <w:start w:w="80" w:type="dxa"/>
              <w:bottom w:w="80" w:type="dxa"/>
              <w:end w:w="80" w:type="dxa"/>
            </w:tcMar>
          </w:tcPr>
          <w:p>
            <w:pPr>
              <w:spacing w:after="0"/>
            </w:pPr>
            <w:r>
              <w:rPr>
                <w:sz w:val="17"/>
              </w:rPr>
              <w:t>Active voxel count; FLOPs/MACs chỉ khi phương pháp đếm được định nghĩa rõ</w:t>
            </w:r>
          </w:p>
        </w:tc>
      </w:tr>
      <w:tr>
        <w:tc>
          <w:tcPr>
            <w:tcW w:type="dxa" w:w="2520"/>
            <w:vAlign w:val="center"/>
            <w:tcMar>
              <w:top w:w="80" w:type="dxa"/>
              <w:start w:w="80" w:type="dxa"/>
              <w:bottom w:w="80" w:type="dxa"/>
              <w:end w:w="80" w:type="dxa"/>
            </w:tcMar>
          </w:tcPr>
          <w:p>
            <w:pPr>
              <w:spacing w:after="0"/>
            </w:pPr>
            <w:r>
              <w:rPr>
                <w:sz w:val="17"/>
              </w:rPr>
              <w:t>Range robustness</w:t>
            </w:r>
          </w:p>
        </w:tc>
        <w:tc>
          <w:tcPr>
            <w:tcW w:type="dxa" w:w="8496"/>
            <w:vAlign w:val="center"/>
            <w:tcMar>
              <w:top w:w="80" w:type="dxa"/>
              <w:start w:w="80" w:type="dxa"/>
              <w:bottom w:w="80" w:type="dxa"/>
              <w:end w:w="80" w:type="dxa"/>
            </w:tcMar>
          </w:tcPr>
          <w:p>
            <w:pPr>
              <w:spacing w:after="0"/>
            </w:pPr>
            <w:r>
              <w:rPr>
                <w:sz w:val="17"/>
              </w:rPr>
              <w:t>AP@0–20, AP@20–40, AP@40–60, AP@&gt;60 m</w:t>
            </w:r>
          </w:p>
        </w:tc>
      </w:tr>
      <w:tr>
        <w:tc>
          <w:tcPr>
            <w:tcW w:type="dxa" w:w="2520"/>
            <w:vAlign w:val="center"/>
            <w:tcMar>
              <w:top w:w="80" w:type="dxa"/>
              <w:start w:w="80" w:type="dxa"/>
              <w:bottom w:w="80" w:type="dxa"/>
              <w:end w:w="80" w:type="dxa"/>
            </w:tcMar>
          </w:tcPr>
          <w:p>
            <w:pPr>
              <w:spacing w:after="0"/>
            </w:pPr>
            <w:r>
              <w:rPr>
                <w:sz w:val="17"/>
              </w:rPr>
              <w:t>Beam robustness</w:t>
            </w:r>
          </w:p>
        </w:tc>
        <w:tc>
          <w:tcPr>
            <w:tcW w:type="dxa" w:w="8496"/>
            <w:vAlign w:val="center"/>
            <w:tcMar>
              <w:top w:w="80" w:type="dxa"/>
              <w:start w:w="80" w:type="dxa"/>
              <w:bottom w:w="80" w:type="dxa"/>
              <w:end w:w="80" w:type="dxa"/>
            </w:tcMar>
          </w:tcPr>
          <w:p>
            <w:pPr>
              <w:spacing w:after="0"/>
            </w:pPr>
            <w:r>
              <w:rPr>
                <w:sz w:val="17"/>
              </w:rPr>
              <w:t>AP128, AP64, AP32, AP16; ΔAP; relative AP retention</w:t>
            </w:r>
          </w:p>
        </w:tc>
      </w:tr>
      <w:tr>
        <w:tc>
          <w:tcPr>
            <w:tcW w:type="dxa" w:w="2520"/>
            <w:vAlign w:val="center"/>
            <w:tcMar>
              <w:top w:w="80" w:type="dxa"/>
              <w:start w:w="80" w:type="dxa"/>
              <w:bottom w:w="80" w:type="dxa"/>
              <w:end w:w="80" w:type="dxa"/>
            </w:tcMar>
          </w:tcPr>
          <w:p>
            <w:pPr>
              <w:spacing w:after="0"/>
            </w:pPr>
            <w:r>
              <w:rPr>
                <w:sz w:val="17"/>
              </w:rPr>
              <w:t>Statistical reliability</w:t>
            </w:r>
          </w:p>
        </w:tc>
        <w:tc>
          <w:tcPr>
            <w:tcW w:type="dxa" w:w="8496"/>
            <w:vAlign w:val="center"/>
            <w:tcMar>
              <w:top w:w="80" w:type="dxa"/>
              <w:start w:w="80" w:type="dxa"/>
              <w:bottom w:w="80" w:type="dxa"/>
              <w:end w:w="80" w:type="dxa"/>
            </w:tcMar>
          </w:tcPr>
          <w:p>
            <w:pPr>
              <w:spacing w:after="0"/>
            </w:pPr>
            <w:r>
              <w:rPr>
                <w:sz w:val="17"/>
              </w:rPr>
              <w:t>≥3 seeds cho các kết quả chính; mean ± std/CI nếu ngân sách cho phép</w:t>
            </w:r>
          </w:p>
        </w:tc>
      </w:tr>
    </w:tbl>
    <w:p>
      <w:pPr>
        <w:spacing w:after="0"/>
      </w:pPr>
    </w:p>
    <w:p>
      <w:r>
        <w:rPr>
          <w:b/>
        </w:rPr>
        <w:t xml:space="preserve">Lưu ý về FLOPs. </w:t>
      </w:r>
      <w:r>
        <w:t>Với sparse convolution, FLOPs phụ thuộc vào số lượng và phân bố active voxels nên không nên xem FLOPs là chỉ số hiệu năng chính. Measured latency, memory và active voxel count đáng tin cậy hơn cho bài toán triển khai.</w:t>
      </w:r>
    </w:p>
    <w:p>
      <w:pPr>
        <w:pStyle w:val="Heading1"/>
      </w:pPr>
      <w:r>
        <w:t>6. Phân tích dự kiến và hình minh họa</w:t>
      </w:r>
    </w:p>
    <w:p>
      <w:pPr>
        <w:pStyle w:val="ListBullet"/>
        <w:spacing w:after="50"/>
      </w:pPr>
      <w:r>
        <w:t>Pareto frontier: x = FPS hoặc latency, y = mAP.</w:t>
      </w:r>
    </w:p>
    <w:p>
      <w:pPr>
        <w:pStyle w:val="ListBullet"/>
        <w:spacing w:after="50"/>
      </w:pPr>
      <w:r>
        <w:t>Pareto frontier: x = peak GPU memory, y = mAP.</w:t>
      </w:r>
    </w:p>
    <w:p>
      <w:pPr>
        <w:pStyle w:val="ListBullet"/>
        <w:spacing w:after="50"/>
      </w:pPr>
      <w:r>
        <w:t>Đường suy giảm mAP khi 128 → 64 → 32 → 16 beam.</w:t>
      </w:r>
    </w:p>
    <w:p>
      <w:pPr>
        <w:pStyle w:val="ListBullet"/>
        <w:spacing w:after="50"/>
      </w:pPr>
      <w:r>
        <w:t>AP theo khoảng cách cho từng model.</w:t>
      </w:r>
    </w:p>
    <w:p>
      <w:pPr>
        <w:pStyle w:val="ListBullet"/>
        <w:spacing w:after="50"/>
      </w:pPr>
      <w:r>
        <w:t>Ranking stability: kiểm tra thứ hạng model có thay đổi khi beam count giảm hay không.</w:t>
      </w:r>
    </w:p>
    <w:p>
      <w:pPr>
        <w:pStyle w:val="ListBullet"/>
        <w:spacing w:after="50"/>
      </w:pPr>
      <w:r>
        <w:t>Phân tích theo class để xem Pedestrian/Cyclist có nhạy với sparsity hơn Car hay không.</w:t>
      </w:r>
    </w:p>
    <w:p>
      <w:pPr>
        <w:pStyle w:val="Heading1"/>
      </w:pPr>
      <w:r>
        <w:t>7. Đóng góp khoa học dự kiến</w:t>
      </w:r>
    </w:p>
    <w:p>
      <w:pPr>
        <w:pStyle w:val="ListNumber"/>
        <w:spacing w:after="50"/>
      </w:pPr>
      <w:r>
        <w:t>Một controlled cross-architecture benchmark trên Boreas-Objects-V1, bao phủ pillar, sparse voxel, center-based, fully sparse và voxel-point/two-stage detectors.</w:t>
      </w:r>
    </w:p>
    <w:p>
      <w:pPr>
        <w:pStyle w:val="ListNumber"/>
        <w:spacing w:after="50"/>
      </w:pPr>
      <w:r>
        <w:t>Một protocol đánh giá deployment-oriented thống nhất cho accuracy, latency, FPS, memory và sparse-compute diagnostics.</w:t>
      </w:r>
    </w:p>
    <w:p>
      <w:pPr>
        <w:pStyle w:val="ListNumber"/>
        <w:spacing w:after="50"/>
      </w:pPr>
      <w:r>
        <w:t>Phân tích architecture-dependent range robustness thay vì chỉ báo cáo AP chung.</w:t>
      </w:r>
    </w:p>
    <w:p>
      <w:pPr>
        <w:pStyle w:val="ListNumber"/>
        <w:spacing w:after="50"/>
      </w:pPr>
      <w:r>
        <w:t>Phân tích architecture-dependent robustness khi giảm vertical LiDAR resolution từ 128 xuống 64/32/16 beam.</w:t>
      </w:r>
    </w:p>
    <w:p>
      <w:pPr>
        <w:pStyle w:val="ListNumber"/>
        <w:spacing w:after="50"/>
      </w:pPr>
      <w:r>
        <w:t>Pareto analysis và ranking-stability analysis để xác định liệu model chính xác nhất ở điều kiện sạch có còn tối ưu khi sensor hoặc compute bị giới hạn.</w:t>
      </w:r>
    </w:p>
    <w:p>
      <w:pPr>
        <w:pStyle w:val="ListNumber"/>
        <w:spacing w:after="50"/>
      </w:pPr>
      <w:r>
        <w:t>Release code/config/protocol/checkpoints hoặc ít nhất experiment manifests để tăng tính reproducible và giá trị cộng đồng.</w:t>
      </w:r>
    </w:p>
    <w:p>
      <w:pPr>
        <w:pStyle w:val="Heading1"/>
      </w:pPr>
      <w:r>
        <w:t>8. Novelty gap và prior work cần lưu ý</w:t>
      </w:r>
    </w:p>
    <w:p>
      <w:r>
        <w:rPr>
          <w:b/>
        </w:rPr>
        <w:t>Điểm chưa nên claim là mới:</w:t>
      </w:r>
    </w:p>
    <w:p>
      <w:pPr>
        <w:pStyle w:val="ListBullet"/>
        <w:spacing w:after="50"/>
      </w:pPr>
      <w:r>
        <w:t>Boreas đã có benchmark 3D object detection chính thức.</w:t>
      </w:r>
    </w:p>
    <w:p>
      <w:pPr>
        <w:pStyle w:val="ListBullet"/>
        <w:spacing w:after="50"/>
      </w:pPr>
      <w:r>
        <w:t>Phân tích detection theo khoảng cách và downsampling LiDAR riêng lẻ đã có tiền lệ trong literature.</w:t>
      </w:r>
    </w:p>
    <w:p>
      <w:pPr>
        <w:pStyle w:val="ListBullet"/>
        <w:spacing w:after="50"/>
      </w:pPr>
      <w:r>
        <w:t>Adverse-weather evaluation trên Boreas/CADC và các benchmark sunny–snow cũng đã xuất hiện.</w:t>
      </w:r>
    </w:p>
    <w:p>
      <w:r>
        <w:rPr>
          <w:b/>
        </w:rPr>
        <w:t>Khoảng trống mà dự án nên bám vào:</w:t>
      </w:r>
      <w:r>
        <w:t xml:space="preserve"> chưa thấy một nghiên cứu công khai thực hiện đúng tổ hợp nhiều detector-family hiện đại trên Boreas-Objects-V1 dưới cùng training/runtime protocol, đồng thời phân tích accuracy–efficiency, range degradation, beam sparsity và ranking stability. Khi viết bài nên dùng cách diễn đạt học thuật thận trọng như “To the best of our knowledge”.</w:t>
      </w:r>
    </w:p>
    <w:p>
      <w:r>
        <w:br w:type="page"/>
      </w:r>
    </w:p>
    <w:p>
      <w:pPr>
        <w:pStyle w:val="Heading1"/>
      </w:pPr>
      <w:r>
        <w:t>9. Rủi ro và giới hạn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D9EAF7"/>
            <w:vAlign w:val="center"/>
            <w:tcMar>
              <w:top w:w="80" w:type="dxa"/>
              <w:start w:w="80" w:type="dxa"/>
              <w:bottom w:w="80" w:type="dxa"/>
              <w:end w:w="80" w:type="dxa"/>
            </w:tcMar>
          </w:tcPr>
          <w:p>
            <w:r>
              <w:rPr>
                <w:b/>
                <w:sz w:val="18"/>
              </w:rPr>
              <w:t>Rủi ro</w:t>
            </w:r>
          </w:p>
        </w:tc>
        <w:tc>
          <w:tcPr>
            <w:tcW w:type="dxa" w:w="3384"/>
            <w:shd w:fill="D9EAF7"/>
            <w:vAlign w:val="center"/>
            <w:tcMar>
              <w:top w:w="80" w:type="dxa"/>
              <w:start w:w="80" w:type="dxa"/>
              <w:bottom w:w="80" w:type="dxa"/>
              <w:end w:w="80" w:type="dxa"/>
            </w:tcMar>
          </w:tcPr>
          <w:p>
            <w:r>
              <w:rPr>
                <w:b/>
                <w:sz w:val="18"/>
              </w:rPr>
              <w:t>Ảnh hưởng</w:t>
            </w:r>
          </w:p>
        </w:tc>
        <w:tc>
          <w:tcPr>
            <w:tcW w:type="dxa" w:w="4824"/>
            <w:shd w:fill="D9EAF7"/>
            <w:vAlign w:val="center"/>
            <w:tcMar>
              <w:top w:w="80" w:type="dxa"/>
              <w:start w:w="80" w:type="dxa"/>
              <w:bottom w:w="80" w:type="dxa"/>
              <w:end w:w="80" w:type="dxa"/>
            </w:tcMar>
          </w:tcPr>
          <w:p>
            <w:r>
              <w:rPr>
                <w:b/>
                <w:sz w:val="18"/>
              </w:rPr>
              <w:t>Cách giảm thiểu</w:t>
            </w:r>
          </w:p>
        </w:tc>
      </w:tr>
      <w:tr>
        <w:tc>
          <w:tcPr>
            <w:tcW w:type="dxa" w:w="2880"/>
            <w:vAlign w:val="center"/>
            <w:tcMar>
              <w:top w:w="80" w:type="dxa"/>
              <w:start w:w="80" w:type="dxa"/>
              <w:bottom w:w="80" w:type="dxa"/>
              <w:end w:w="80" w:type="dxa"/>
            </w:tcMar>
          </w:tcPr>
          <w:p>
            <w:pPr>
              <w:spacing w:after="0"/>
            </w:pPr>
            <w:r>
              <w:rPr>
                <w:sz w:val="17"/>
              </w:rPr>
              <w:t>Boreas-Objects-V1 chỉ có nhãn detection ở sunny subset</w:t>
            </w:r>
          </w:p>
        </w:tc>
        <w:tc>
          <w:tcPr>
            <w:tcW w:type="dxa" w:w="3384"/>
            <w:vAlign w:val="center"/>
            <w:tcMar>
              <w:top w:w="80" w:type="dxa"/>
              <w:start w:w="80" w:type="dxa"/>
              <w:bottom w:w="80" w:type="dxa"/>
              <w:end w:w="80" w:type="dxa"/>
            </w:tcMar>
          </w:tcPr>
          <w:p>
            <w:pPr>
              <w:spacing w:after="0"/>
            </w:pPr>
            <w:r>
              <w:rPr>
                <w:sz w:val="17"/>
              </w:rPr>
              <w:t>Không thể claim real cross-season detection robustness</w:t>
            </w:r>
          </w:p>
        </w:tc>
        <w:tc>
          <w:tcPr>
            <w:tcW w:type="dxa" w:w="4824"/>
            <w:vAlign w:val="center"/>
            <w:tcMar>
              <w:top w:w="80" w:type="dxa"/>
              <w:start w:w="80" w:type="dxa"/>
              <w:bottom w:w="80" w:type="dxa"/>
              <w:end w:w="80" w:type="dxa"/>
            </w:tcMar>
          </w:tcPr>
          <w:p>
            <w:pPr>
              <w:spacing w:after="0"/>
            </w:pPr>
            <w:r>
              <w:rPr>
                <w:sz w:val="17"/>
              </w:rPr>
              <w:t>Framing đúng: controlled robustness; nếu cần weather contribution mạnh thì annotate thêm real rain/snow</w:t>
            </w:r>
          </w:p>
        </w:tc>
      </w:tr>
      <w:tr>
        <w:tc>
          <w:tcPr>
            <w:tcW w:type="dxa" w:w="2880"/>
            <w:vAlign w:val="center"/>
            <w:tcMar>
              <w:top w:w="80" w:type="dxa"/>
              <w:start w:w="80" w:type="dxa"/>
              <w:bottom w:w="80" w:type="dxa"/>
              <w:end w:w="80" w:type="dxa"/>
            </w:tcMar>
          </w:tcPr>
          <w:p>
            <w:pPr>
              <w:spacing w:after="0"/>
            </w:pPr>
            <w:r>
              <w:rPr>
                <w:sz w:val="17"/>
              </w:rPr>
              <w:t>Official test GT bị withheld</w:t>
            </w:r>
          </w:p>
        </w:tc>
        <w:tc>
          <w:tcPr>
            <w:tcW w:type="dxa" w:w="3384"/>
            <w:vAlign w:val="center"/>
            <w:tcMar>
              <w:top w:w="80" w:type="dxa"/>
              <w:start w:w="80" w:type="dxa"/>
              <w:bottom w:w="80" w:type="dxa"/>
              <w:end w:w="80" w:type="dxa"/>
            </w:tcMar>
          </w:tcPr>
          <w:p>
            <w:pPr>
              <w:spacing w:after="0"/>
            </w:pPr>
            <w:r>
              <w:rPr>
                <w:sz w:val="17"/>
              </w:rPr>
              <w:t>Khó làm local ablation trên official test</w:t>
            </w:r>
          </w:p>
        </w:tc>
        <w:tc>
          <w:tcPr>
            <w:tcW w:type="dxa" w:w="4824"/>
            <w:vAlign w:val="center"/>
            <w:tcMar>
              <w:top w:w="80" w:type="dxa"/>
              <w:start w:w="80" w:type="dxa"/>
              <w:bottom w:w="80" w:type="dxa"/>
              <w:end w:w="80" w:type="dxa"/>
            </w:tcMar>
          </w:tcPr>
          <w:p>
            <w:pPr>
              <w:spacing w:after="0"/>
            </w:pPr>
            <w:r>
              <w:rPr>
                <w:sz w:val="17"/>
              </w:rPr>
              <w:t>Tách train/val theo scene từ 37 training scenes; dùng official benchmark cho final submission</w:t>
            </w:r>
          </w:p>
        </w:tc>
      </w:tr>
      <w:tr>
        <w:tc>
          <w:tcPr>
            <w:tcW w:type="dxa" w:w="2880"/>
            <w:vAlign w:val="center"/>
            <w:tcMar>
              <w:top w:w="80" w:type="dxa"/>
              <w:start w:w="80" w:type="dxa"/>
              <w:bottom w:w="80" w:type="dxa"/>
              <w:end w:w="80" w:type="dxa"/>
            </w:tcMar>
          </w:tcPr>
          <w:p>
            <w:pPr>
              <w:spacing w:after="0"/>
            </w:pPr>
            <w:r>
              <w:rPr>
                <w:sz w:val="17"/>
              </w:rPr>
              <w:t>Hyperparameter fairness</w:t>
            </w:r>
          </w:p>
        </w:tc>
        <w:tc>
          <w:tcPr>
            <w:tcW w:type="dxa" w:w="3384"/>
            <w:vAlign w:val="center"/>
            <w:tcMar>
              <w:top w:w="80" w:type="dxa"/>
              <w:start w:w="80" w:type="dxa"/>
              <w:bottom w:w="80" w:type="dxa"/>
              <w:end w:w="80" w:type="dxa"/>
            </w:tcMar>
          </w:tcPr>
          <w:p>
            <w:pPr>
              <w:spacing w:after="0"/>
            </w:pPr>
            <w:r>
              <w:rPr>
                <w:sz w:val="17"/>
              </w:rPr>
              <w:t>Một model có thể bị bất lợi nếu ép cùng config</w:t>
            </w:r>
          </w:p>
        </w:tc>
        <w:tc>
          <w:tcPr>
            <w:tcW w:type="dxa" w:w="4824"/>
            <w:vAlign w:val="center"/>
            <w:tcMar>
              <w:top w:w="80" w:type="dxa"/>
              <w:start w:w="80" w:type="dxa"/>
              <w:bottom w:w="80" w:type="dxa"/>
              <w:end w:w="80" w:type="dxa"/>
            </w:tcMar>
          </w:tcPr>
          <w:p>
            <w:pPr>
              <w:spacing w:after="0"/>
            </w:pPr>
            <w:r>
              <w:rPr>
                <w:sz w:val="17"/>
              </w:rPr>
              <w:t>Giữ common protocol nhưng cho phép model-specific recommended hyperparameters</w:t>
            </w:r>
          </w:p>
        </w:tc>
      </w:tr>
      <w:tr>
        <w:tc>
          <w:tcPr>
            <w:tcW w:type="dxa" w:w="2880"/>
            <w:vAlign w:val="center"/>
            <w:tcMar>
              <w:top w:w="80" w:type="dxa"/>
              <w:start w:w="80" w:type="dxa"/>
              <w:bottom w:w="80" w:type="dxa"/>
              <w:end w:w="80" w:type="dxa"/>
            </w:tcMar>
          </w:tcPr>
          <w:p>
            <w:pPr>
              <w:spacing w:after="0"/>
            </w:pPr>
            <w:r>
              <w:rPr>
                <w:sz w:val="17"/>
              </w:rPr>
              <w:t>Sparse FLOPs khó so sánh công bằng</w:t>
            </w:r>
          </w:p>
        </w:tc>
        <w:tc>
          <w:tcPr>
            <w:tcW w:type="dxa" w:w="3384"/>
            <w:vAlign w:val="center"/>
            <w:tcMar>
              <w:top w:w="80" w:type="dxa"/>
              <w:start w:w="80" w:type="dxa"/>
              <w:bottom w:w="80" w:type="dxa"/>
              <w:end w:w="80" w:type="dxa"/>
            </w:tcMar>
          </w:tcPr>
          <w:p>
            <w:pPr>
              <w:spacing w:after="0"/>
            </w:pPr>
            <w:r>
              <w:rPr>
                <w:sz w:val="17"/>
              </w:rPr>
              <w:t>Có thể gây phản biện về efficiency metric</w:t>
            </w:r>
          </w:p>
        </w:tc>
        <w:tc>
          <w:tcPr>
            <w:tcW w:type="dxa" w:w="4824"/>
            <w:vAlign w:val="center"/>
            <w:tcMar>
              <w:top w:w="80" w:type="dxa"/>
              <w:start w:w="80" w:type="dxa"/>
              <w:bottom w:w="80" w:type="dxa"/>
              <w:end w:w="80" w:type="dxa"/>
            </w:tcMar>
          </w:tcPr>
          <w:p>
            <w:pPr>
              <w:spacing w:after="0"/>
            </w:pPr>
            <w:r>
              <w:rPr>
                <w:sz w:val="17"/>
              </w:rPr>
              <w:t>Ưu tiên measured latency, memory, active voxels; mô tả rõ FLOP protocol nếu dùng</w:t>
            </w:r>
          </w:p>
        </w:tc>
      </w:tr>
      <w:tr>
        <w:tc>
          <w:tcPr>
            <w:tcW w:type="dxa" w:w="2880"/>
            <w:vAlign w:val="center"/>
            <w:tcMar>
              <w:top w:w="80" w:type="dxa"/>
              <w:start w:w="80" w:type="dxa"/>
              <w:bottom w:w="80" w:type="dxa"/>
              <w:end w:w="80" w:type="dxa"/>
            </w:tcMar>
          </w:tcPr>
          <w:p>
            <w:pPr>
              <w:spacing w:after="0"/>
            </w:pPr>
            <w:r>
              <w:rPr>
                <w:sz w:val="17"/>
              </w:rPr>
              <w:t>Compute budget lớn</w:t>
            </w:r>
          </w:p>
        </w:tc>
        <w:tc>
          <w:tcPr>
            <w:tcW w:type="dxa" w:w="3384"/>
            <w:vAlign w:val="center"/>
            <w:tcMar>
              <w:top w:w="80" w:type="dxa"/>
              <w:start w:w="80" w:type="dxa"/>
              <w:bottom w:w="80" w:type="dxa"/>
              <w:end w:w="80" w:type="dxa"/>
            </w:tcMar>
          </w:tcPr>
          <w:p>
            <w:pPr>
              <w:spacing w:after="0"/>
            </w:pPr>
            <w:r>
              <w:rPr>
                <w:sz w:val="17"/>
              </w:rPr>
              <w:t>5–6 model × nhiều seeds × robustness tests tốn GPU-time</w:t>
            </w:r>
          </w:p>
        </w:tc>
        <w:tc>
          <w:tcPr>
            <w:tcW w:type="dxa" w:w="4824"/>
            <w:vAlign w:val="center"/>
            <w:tcMar>
              <w:top w:w="80" w:type="dxa"/>
              <w:start w:w="80" w:type="dxa"/>
              <w:bottom w:w="80" w:type="dxa"/>
              <w:end w:w="80" w:type="dxa"/>
            </w:tcMar>
          </w:tcPr>
          <w:p>
            <w:pPr>
              <w:spacing w:after="0"/>
            </w:pPr>
            <w:r>
              <w:rPr>
                <w:sz w:val="17"/>
              </w:rPr>
              <w:t>Smoke-test PointPillars trước; ưu tiên 3 seeds cho bảng chính và 1 seed cho exploratory runs</w:t>
            </w:r>
          </w:p>
        </w:tc>
      </w:tr>
    </w:tbl>
    <w:p>
      <w:pPr>
        <w:spacing w:after="0"/>
      </w:pPr>
    </w:p>
    <w:p>
      <w:pPr>
        <w:pStyle w:val="Heading1"/>
      </w:pPr>
      <w:r>
        <w:t>10. Khả năng đăng hội nghị/tạp chí</w:t>
      </w:r>
    </w:p>
    <w:p>
      <w:r>
        <w:rPr>
          <w:b/>
        </w:rPr>
        <w:t>Đánh giá theo mức hoàn thiện của bài:</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shd w:fill="D9EAF7"/>
            <w:vAlign w:val="center"/>
            <w:tcMar>
              <w:top w:w="80" w:type="dxa"/>
              <w:start w:w="80" w:type="dxa"/>
              <w:bottom w:w="80" w:type="dxa"/>
              <w:end w:w="80" w:type="dxa"/>
            </w:tcMar>
          </w:tcPr>
          <w:p>
            <w:r>
              <w:rPr>
                <w:b/>
                <w:sz w:val="18"/>
              </w:rPr>
              <w:t>Phiên bản</w:t>
            </w:r>
          </w:p>
        </w:tc>
        <w:tc>
          <w:tcPr>
            <w:tcW w:type="dxa" w:w="6336"/>
            <w:shd w:fill="D9EAF7"/>
            <w:vAlign w:val="center"/>
            <w:tcMar>
              <w:top w:w="80" w:type="dxa"/>
              <w:start w:w="80" w:type="dxa"/>
              <w:bottom w:w="80" w:type="dxa"/>
              <w:end w:w="80" w:type="dxa"/>
            </w:tcMar>
          </w:tcPr>
          <w:p>
            <w:r>
              <w:rPr>
                <w:b/>
                <w:sz w:val="18"/>
              </w:rPr>
              <w:t>Nội dung</w:t>
            </w:r>
          </w:p>
        </w:tc>
        <w:tc>
          <w:tcPr>
            <w:tcW w:type="dxa" w:w="3024"/>
            <w:shd w:fill="D9EAF7"/>
            <w:vAlign w:val="center"/>
            <w:tcMar>
              <w:top w:w="80" w:type="dxa"/>
              <w:start w:w="80" w:type="dxa"/>
              <w:bottom w:w="80" w:type="dxa"/>
              <w:end w:w="80" w:type="dxa"/>
            </w:tcMar>
          </w:tcPr>
          <w:p>
            <w:r>
              <w:rPr>
                <w:b/>
                <w:sz w:val="18"/>
              </w:rPr>
              <w:t>Mức venue hợp lý</w:t>
            </w:r>
          </w:p>
        </w:tc>
      </w:tr>
      <w:tr>
        <w:tc>
          <w:tcPr>
            <w:tcW w:type="dxa" w:w="1800"/>
            <w:vAlign w:val="center"/>
            <w:tcMar>
              <w:top w:w="80" w:type="dxa"/>
              <w:start w:w="80" w:type="dxa"/>
              <w:bottom w:w="80" w:type="dxa"/>
              <w:end w:w="80" w:type="dxa"/>
            </w:tcMar>
          </w:tcPr>
          <w:p>
            <w:pPr>
              <w:spacing w:after="0"/>
            </w:pPr>
            <w:r>
              <w:rPr>
                <w:sz w:val="17"/>
              </w:rPr>
              <w:t>Basic</w:t>
            </w:r>
          </w:p>
        </w:tc>
        <w:tc>
          <w:tcPr>
            <w:tcW w:type="dxa" w:w="6336"/>
            <w:vAlign w:val="center"/>
            <w:tcMar>
              <w:top w:w="80" w:type="dxa"/>
              <w:start w:w="80" w:type="dxa"/>
              <w:bottom w:w="80" w:type="dxa"/>
              <w:end w:w="80" w:type="dxa"/>
            </w:tcMar>
          </w:tcPr>
          <w:p>
            <w:pPr>
              <w:spacing w:after="0"/>
            </w:pPr>
            <w:r>
              <w:rPr>
                <w:sz w:val="17"/>
              </w:rPr>
              <w:t>5 model + mAP + Params/FPS</w:t>
            </w:r>
          </w:p>
        </w:tc>
        <w:tc>
          <w:tcPr>
            <w:tcW w:type="dxa" w:w="3024"/>
            <w:vAlign w:val="center"/>
            <w:tcMar>
              <w:top w:w="80" w:type="dxa"/>
              <w:start w:w="80" w:type="dxa"/>
              <w:bottom w:w="80" w:type="dxa"/>
              <w:end w:w="80" w:type="dxa"/>
            </w:tcMar>
          </w:tcPr>
          <w:p>
            <w:pPr>
              <w:spacing w:after="0"/>
            </w:pPr>
            <w:r>
              <w:rPr>
                <w:sz w:val="17"/>
              </w:rPr>
              <w:t>Workshop/conference vừa; journal applied. Novelty còn mỏng.</w:t>
            </w:r>
          </w:p>
        </w:tc>
      </w:tr>
      <w:tr>
        <w:tc>
          <w:tcPr>
            <w:tcW w:type="dxa" w:w="1800"/>
            <w:vAlign w:val="center"/>
            <w:tcMar>
              <w:top w:w="80" w:type="dxa"/>
              <w:start w:w="80" w:type="dxa"/>
              <w:bottom w:w="80" w:type="dxa"/>
              <w:end w:w="80" w:type="dxa"/>
            </w:tcMar>
          </w:tcPr>
          <w:p>
            <w:pPr>
              <w:spacing w:after="0"/>
            </w:pPr>
            <w:r>
              <w:rPr>
                <w:sz w:val="17"/>
              </w:rPr>
              <w:t>Full benchmark</w:t>
            </w:r>
          </w:p>
        </w:tc>
        <w:tc>
          <w:tcPr>
            <w:tcW w:type="dxa" w:w="6336"/>
            <w:vAlign w:val="center"/>
            <w:tcMar>
              <w:top w:w="80" w:type="dxa"/>
              <w:start w:w="80" w:type="dxa"/>
              <w:bottom w:w="80" w:type="dxa"/>
              <w:end w:w="80" w:type="dxa"/>
            </w:tcMar>
          </w:tcPr>
          <w:p>
            <w:pPr>
              <w:spacing w:after="0"/>
            </w:pPr>
            <w:r>
              <w:rPr>
                <w:sz w:val="17"/>
              </w:rPr>
              <w:t>Unified protocol + latency/memory + range + 128/64/32/16 + Pareto + 3 seeds + code</w:t>
            </w:r>
          </w:p>
        </w:tc>
        <w:tc>
          <w:tcPr>
            <w:tcW w:type="dxa" w:w="3024"/>
            <w:vAlign w:val="center"/>
            <w:tcMar>
              <w:top w:w="80" w:type="dxa"/>
              <w:start w:w="80" w:type="dxa"/>
              <w:bottom w:w="80" w:type="dxa"/>
              <w:end w:w="80" w:type="dxa"/>
            </w:tcMar>
          </w:tcPr>
          <w:p>
            <w:pPr>
              <w:spacing w:after="0"/>
            </w:pPr>
            <w:r>
              <w:rPr>
                <w:sz w:val="17"/>
              </w:rPr>
              <w:t>IEEE IV, IEEE ITSC là target rất phù hợp; journal Q1/Q2 phù hợp có thể thử.</w:t>
            </w:r>
          </w:p>
        </w:tc>
      </w:tr>
      <w:tr>
        <w:tc>
          <w:tcPr>
            <w:tcW w:type="dxa" w:w="1800"/>
            <w:vAlign w:val="center"/>
            <w:tcMar>
              <w:top w:w="80" w:type="dxa"/>
              <w:start w:w="80" w:type="dxa"/>
              <w:bottom w:w="80" w:type="dxa"/>
              <w:end w:w="80" w:type="dxa"/>
            </w:tcMar>
          </w:tcPr>
          <w:p>
            <w:pPr>
              <w:spacing w:after="0"/>
            </w:pPr>
            <w:r>
              <w:rPr>
                <w:sz w:val="17"/>
              </w:rPr>
              <w:t>Strong / Benchmark+</w:t>
            </w:r>
          </w:p>
        </w:tc>
        <w:tc>
          <w:tcPr>
            <w:tcW w:type="dxa" w:w="6336"/>
            <w:vAlign w:val="center"/>
            <w:tcMar>
              <w:top w:w="80" w:type="dxa"/>
              <w:start w:w="80" w:type="dxa"/>
              <w:bottom w:w="80" w:type="dxa"/>
              <w:end w:w="80" w:type="dxa"/>
            </w:tcMar>
          </w:tcPr>
          <w:p>
            <w:pPr>
              <w:spacing w:after="0"/>
            </w:pPr>
            <w:r>
              <w:rPr>
                <w:sz w:val="17"/>
              </w:rPr>
              <w:t>Full benchmark + real adverse-weather annotations hoặc corruption suite sâu / multi-dataset validation</w:t>
            </w:r>
          </w:p>
        </w:tc>
        <w:tc>
          <w:tcPr>
            <w:tcW w:type="dxa" w:w="3024"/>
            <w:vAlign w:val="center"/>
            <w:tcMar>
              <w:top w:w="80" w:type="dxa"/>
              <w:start w:w="80" w:type="dxa"/>
              <w:bottom w:w="80" w:type="dxa"/>
              <w:end w:w="80" w:type="dxa"/>
            </w:tcMar>
          </w:tcPr>
          <w:p>
            <w:pPr>
              <w:spacing w:after="0"/>
            </w:pPr>
            <w:r>
              <w:rPr>
                <w:sz w:val="17"/>
              </w:rPr>
              <w:t>Có cơ sở hơn cho RA-L, IEEE T-IV và các journal/robotics venue mạnh.</w:t>
            </w:r>
          </w:p>
        </w:tc>
      </w:tr>
    </w:tbl>
    <w:p>
      <w:pPr>
        <w:spacing w:after="0"/>
      </w:pPr>
    </w:p>
    <w:p>
      <w:pPr>
        <w:pStyle w:val="Heading1"/>
      </w:pPr>
      <w:r>
        <w:t>11. Venue gợi ý</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D9EAF7"/>
            <w:vAlign w:val="center"/>
            <w:tcMar>
              <w:top w:w="80" w:type="dxa"/>
              <w:start w:w="80" w:type="dxa"/>
              <w:bottom w:w="80" w:type="dxa"/>
              <w:end w:w="80" w:type="dxa"/>
            </w:tcMar>
          </w:tcPr>
          <w:p>
            <w:r>
              <w:rPr>
                <w:b/>
                <w:sz w:val="18"/>
              </w:rPr>
              <w:t>Venue</w:t>
            </w:r>
          </w:p>
        </w:tc>
        <w:tc>
          <w:tcPr>
            <w:tcW w:type="dxa" w:w="1800"/>
            <w:shd w:fill="D9EAF7"/>
            <w:vAlign w:val="center"/>
            <w:tcMar>
              <w:top w:w="80" w:type="dxa"/>
              <w:start w:w="80" w:type="dxa"/>
              <w:bottom w:w="80" w:type="dxa"/>
              <w:end w:w="80" w:type="dxa"/>
            </w:tcMar>
          </w:tcPr>
          <w:p>
            <w:r>
              <w:rPr>
                <w:b/>
                <w:sz w:val="18"/>
              </w:rPr>
              <w:t>Độ phù hợp</w:t>
            </w:r>
          </w:p>
        </w:tc>
        <w:tc>
          <w:tcPr>
            <w:tcW w:type="dxa" w:w="6552"/>
            <w:shd w:fill="D9EAF7"/>
            <w:vAlign w:val="center"/>
            <w:tcMar>
              <w:top w:w="80" w:type="dxa"/>
              <w:start w:w="80" w:type="dxa"/>
              <w:bottom w:w="80" w:type="dxa"/>
              <w:end w:w="80" w:type="dxa"/>
            </w:tcMar>
          </w:tcPr>
          <w:p>
            <w:r>
              <w:rPr>
                <w:b/>
                <w:sz w:val="18"/>
              </w:rPr>
              <w:t>Nhận định</w:t>
            </w:r>
          </w:p>
        </w:tc>
      </w:tr>
      <w:tr>
        <w:tc>
          <w:tcPr>
            <w:tcW w:type="dxa" w:w="2880"/>
            <w:vAlign w:val="center"/>
            <w:tcMar>
              <w:top w:w="80" w:type="dxa"/>
              <w:start w:w="80" w:type="dxa"/>
              <w:bottom w:w="80" w:type="dxa"/>
              <w:end w:w="80" w:type="dxa"/>
            </w:tcMar>
          </w:tcPr>
          <w:p>
            <w:pPr>
              <w:spacing w:after="0"/>
            </w:pPr>
            <w:r>
              <w:rPr>
                <w:sz w:val="17"/>
              </w:rPr>
              <w:t>IEEE Intelligent Vehicles Symposium (IV)</w:t>
            </w:r>
          </w:p>
        </w:tc>
        <w:tc>
          <w:tcPr>
            <w:tcW w:type="dxa" w:w="1800"/>
            <w:vAlign w:val="center"/>
            <w:tcMar>
              <w:top w:w="80" w:type="dxa"/>
              <w:start w:w="80" w:type="dxa"/>
              <w:bottom w:w="80" w:type="dxa"/>
              <w:end w:w="80" w:type="dxa"/>
            </w:tcMar>
          </w:tcPr>
          <w:p>
            <w:pPr>
              <w:spacing w:after="0"/>
            </w:pPr>
            <w:r>
              <w:rPr>
                <w:sz w:val="17"/>
              </w:rPr>
              <w:t>Rất cao</w:t>
            </w:r>
          </w:p>
        </w:tc>
        <w:tc>
          <w:tcPr>
            <w:tcW w:type="dxa" w:w="6552"/>
            <w:vAlign w:val="center"/>
            <w:tcMar>
              <w:top w:w="80" w:type="dxa"/>
              <w:start w:w="80" w:type="dxa"/>
              <w:bottom w:w="80" w:type="dxa"/>
              <w:end w:w="80" w:type="dxa"/>
            </w:tcMar>
          </w:tcPr>
          <w:p>
            <w:pPr>
              <w:spacing w:after="0"/>
            </w:pPr>
            <w:r>
              <w:rPr>
                <w:sz w:val="17"/>
              </w:rPr>
              <w:t>IEEE ITSS flagship; scope có Sensing and Perception, autonomous vehicles, safety testing/validation. Target hội nghị cân bằng nhất.</w:t>
            </w:r>
          </w:p>
        </w:tc>
      </w:tr>
      <w:tr>
        <w:tc>
          <w:tcPr>
            <w:tcW w:type="dxa" w:w="2880"/>
            <w:vAlign w:val="center"/>
            <w:tcMar>
              <w:top w:w="80" w:type="dxa"/>
              <w:start w:w="80" w:type="dxa"/>
              <w:bottom w:w="80" w:type="dxa"/>
              <w:end w:w="80" w:type="dxa"/>
            </w:tcMar>
          </w:tcPr>
          <w:p>
            <w:pPr>
              <w:spacing w:after="0"/>
            </w:pPr>
            <w:r>
              <w:rPr>
                <w:sz w:val="17"/>
              </w:rPr>
              <w:t>IEEE ITSC</w:t>
            </w:r>
          </w:p>
        </w:tc>
        <w:tc>
          <w:tcPr>
            <w:tcW w:type="dxa" w:w="1800"/>
            <w:vAlign w:val="center"/>
            <w:tcMar>
              <w:top w:w="80" w:type="dxa"/>
              <w:start w:w="80" w:type="dxa"/>
              <w:bottom w:w="80" w:type="dxa"/>
              <w:end w:w="80" w:type="dxa"/>
            </w:tcMar>
          </w:tcPr>
          <w:p>
            <w:pPr>
              <w:spacing w:after="0"/>
            </w:pPr>
            <w:r>
              <w:rPr>
                <w:sz w:val="17"/>
              </w:rPr>
              <w:t>Cao</w:t>
            </w:r>
          </w:p>
        </w:tc>
        <w:tc>
          <w:tcPr>
            <w:tcW w:type="dxa" w:w="6552"/>
            <w:vAlign w:val="center"/>
            <w:tcMar>
              <w:top w:w="80" w:type="dxa"/>
              <w:start w:w="80" w:type="dxa"/>
              <w:bottom w:w="80" w:type="dxa"/>
              <w:end w:w="80" w:type="dxa"/>
            </w:tcMar>
          </w:tcPr>
          <w:p>
            <w:pPr>
              <w:spacing w:after="0"/>
            </w:pPr>
            <w:r>
              <w:rPr>
                <w:sz w:val="17"/>
              </w:rPr>
              <w:t>IEEE ITSS annual flagship; phù hợp với sensing/perception/scene understanding và intelligent vehicles.</w:t>
            </w:r>
          </w:p>
        </w:tc>
      </w:tr>
      <w:tr>
        <w:tc>
          <w:tcPr>
            <w:tcW w:type="dxa" w:w="2880"/>
            <w:vAlign w:val="center"/>
            <w:tcMar>
              <w:top w:w="80" w:type="dxa"/>
              <w:start w:w="80" w:type="dxa"/>
              <w:bottom w:w="80" w:type="dxa"/>
              <w:end w:w="80" w:type="dxa"/>
            </w:tcMar>
          </w:tcPr>
          <w:p>
            <w:pPr>
              <w:spacing w:after="0"/>
            </w:pPr>
            <w:r>
              <w:rPr>
                <w:sz w:val="17"/>
              </w:rPr>
              <w:t>Robotics and Autonomous Systems</w:t>
            </w:r>
          </w:p>
        </w:tc>
        <w:tc>
          <w:tcPr>
            <w:tcW w:type="dxa" w:w="1800"/>
            <w:vAlign w:val="center"/>
            <w:tcMar>
              <w:top w:w="80" w:type="dxa"/>
              <w:start w:w="80" w:type="dxa"/>
              <w:bottom w:w="80" w:type="dxa"/>
              <w:end w:w="80" w:type="dxa"/>
            </w:tcMar>
          </w:tcPr>
          <w:p>
            <w:pPr>
              <w:spacing w:after="0"/>
            </w:pPr>
            <w:r>
              <w:rPr>
                <w:sz w:val="17"/>
              </w:rPr>
              <w:t>Cao</w:t>
            </w:r>
          </w:p>
        </w:tc>
        <w:tc>
          <w:tcPr>
            <w:tcW w:type="dxa" w:w="6552"/>
            <w:vAlign w:val="center"/>
            <w:tcMar>
              <w:top w:w="80" w:type="dxa"/>
              <w:start w:w="80" w:type="dxa"/>
              <w:bottom w:w="80" w:type="dxa"/>
              <w:end w:w="80" w:type="dxa"/>
            </w:tcMar>
          </w:tcPr>
          <w:p>
            <w:pPr>
              <w:spacing w:after="0"/>
            </w:pPr>
            <w:r>
              <w:rPr>
                <w:sz w:val="17"/>
              </w:rPr>
              <w:t>Journal tập trung autonomous systems và sensory-based robotics. SJR 2024: Q1. Phù hợp nếu analysis có insight tổng quát.</w:t>
            </w:r>
          </w:p>
        </w:tc>
      </w:tr>
      <w:tr>
        <w:tc>
          <w:tcPr>
            <w:tcW w:type="dxa" w:w="2880"/>
            <w:vAlign w:val="center"/>
            <w:tcMar>
              <w:top w:w="80" w:type="dxa"/>
              <w:start w:w="80" w:type="dxa"/>
              <w:bottom w:w="80" w:type="dxa"/>
              <w:end w:w="80" w:type="dxa"/>
            </w:tcMar>
          </w:tcPr>
          <w:p>
            <w:pPr>
              <w:spacing w:after="0"/>
            </w:pPr>
            <w:r>
              <w:rPr>
                <w:sz w:val="17"/>
              </w:rPr>
              <w:t>IEEE Robotics and Automation Letters (RA-L)</w:t>
            </w:r>
          </w:p>
        </w:tc>
        <w:tc>
          <w:tcPr>
            <w:tcW w:type="dxa" w:w="1800"/>
            <w:vAlign w:val="center"/>
            <w:tcMar>
              <w:top w:w="80" w:type="dxa"/>
              <w:start w:w="80" w:type="dxa"/>
              <w:bottom w:w="80" w:type="dxa"/>
              <w:end w:w="80" w:type="dxa"/>
            </w:tcMar>
          </w:tcPr>
          <w:p>
            <w:pPr>
              <w:spacing w:after="0"/>
            </w:pPr>
            <w:r>
              <w:rPr>
                <w:sz w:val="17"/>
              </w:rPr>
              <w:t>Trung bình–cao</w:t>
            </w:r>
          </w:p>
        </w:tc>
        <w:tc>
          <w:tcPr>
            <w:tcW w:type="dxa" w:w="6552"/>
            <w:vAlign w:val="center"/>
            <w:tcMar>
              <w:top w:w="80" w:type="dxa"/>
              <w:start w:w="80" w:type="dxa"/>
              <w:bottom w:w="80" w:type="dxa"/>
              <w:end w:w="80" w:type="dxa"/>
            </w:tcMar>
          </w:tcPr>
          <w:p>
            <w:pPr>
              <w:spacing w:after="0"/>
            </w:pPr>
            <w:r>
              <w:rPr>
                <w:sz w:val="17"/>
              </w:rPr>
              <w:t>SJR 2024: Q1. Stretch target; benchmark-only cần novelty/insight và reproducibility mạnh.</w:t>
            </w:r>
          </w:p>
        </w:tc>
      </w:tr>
      <w:tr>
        <w:tc>
          <w:tcPr>
            <w:tcW w:type="dxa" w:w="2880"/>
            <w:vAlign w:val="center"/>
            <w:tcMar>
              <w:top w:w="80" w:type="dxa"/>
              <w:start w:w="80" w:type="dxa"/>
              <w:bottom w:w="80" w:type="dxa"/>
              <w:end w:w="80" w:type="dxa"/>
            </w:tcMar>
          </w:tcPr>
          <w:p>
            <w:pPr>
              <w:spacing w:after="0"/>
            </w:pPr>
            <w:r>
              <w:rPr>
                <w:sz w:val="17"/>
              </w:rPr>
              <w:t>IEEE Transactions on Intelligent Vehicles (T-IV)</w:t>
            </w:r>
          </w:p>
        </w:tc>
        <w:tc>
          <w:tcPr>
            <w:tcW w:type="dxa" w:w="1800"/>
            <w:vAlign w:val="center"/>
            <w:tcMar>
              <w:top w:w="80" w:type="dxa"/>
              <w:start w:w="80" w:type="dxa"/>
              <w:bottom w:w="80" w:type="dxa"/>
              <w:end w:w="80" w:type="dxa"/>
            </w:tcMar>
          </w:tcPr>
          <w:p>
            <w:pPr>
              <w:spacing w:after="0"/>
            </w:pPr>
            <w:r>
              <w:rPr>
                <w:sz w:val="17"/>
              </w:rPr>
              <w:t>Rất cao về topic</w:t>
            </w:r>
          </w:p>
        </w:tc>
        <w:tc>
          <w:tcPr>
            <w:tcW w:type="dxa" w:w="6552"/>
            <w:vAlign w:val="center"/>
            <w:tcMar>
              <w:top w:w="80" w:type="dxa"/>
              <w:start w:w="80" w:type="dxa"/>
              <w:bottom w:w="80" w:type="dxa"/>
              <w:end w:w="80" w:type="dxa"/>
            </w:tcMar>
          </w:tcPr>
          <w:p>
            <w:pPr>
              <w:spacing w:after="0"/>
            </w:pPr>
            <w:r>
              <w:rPr>
                <w:sz w:val="17"/>
              </w:rPr>
              <w:t>Scope trực tiếp về intelligent/automated vehicles. Stretch target; cần contribution sâu hơn benchmark bảng xếp hạng.</w:t>
            </w:r>
          </w:p>
        </w:tc>
      </w:tr>
      <w:tr>
        <w:tc>
          <w:tcPr>
            <w:tcW w:type="dxa" w:w="2880"/>
            <w:vAlign w:val="center"/>
            <w:tcMar>
              <w:top w:w="80" w:type="dxa"/>
              <w:start w:w="80" w:type="dxa"/>
              <w:bottom w:w="80" w:type="dxa"/>
              <w:end w:w="80" w:type="dxa"/>
            </w:tcMar>
          </w:tcPr>
          <w:p>
            <w:pPr>
              <w:spacing w:after="0"/>
            </w:pPr>
            <w:r>
              <w:rPr>
                <w:sz w:val="17"/>
              </w:rPr>
              <w:t>Sensors</w:t>
            </w:r>
          </w:p>
        </w:tc>
        <w:tc>
          <w:tcPr>
            <w:tcW w:type="dxa" w:w="1800"/>
            <w:vAlign w:val="center"/>
            <w:tcMar>
              <w:top w:w="80" w:type="dxa"/>
              <w:start w:w="80" w:type="dxa"/>
              <w:bottom w:w="80" w:type="dxa"/>
              <w:end w:w="80" w:type="dxa"/>
            </w:tcMar>
          </w:tcPr>
          <w:p>
            <w:pPr>
              <w:spacing w:after="0"/>
            </w:pPr>
            <w:r>
              <w:rPr>
                <w:sz w:val="17"/>
              </w:rPr>
              <w:t>Cao về applied fit</w:t>
            </w:r>
          </w:p>
        </w:tc>
        <w:tc>
          <w:tcPr>
            <w:tcW w:type="dxa" w:w="6552"/>
            <w:vAlign w:val="center"/>
            <w:tcMar>
              <w:top w:w="80" w:type="dxa"/>
              <w:start w:w="80" w:type="dxa"/>
              <w:bottom w:w="80" w:type="dxa"/>
              <w:end w:w="80" w:type="dxa"/>
            </w:tcMar>
          </w:tcPr>
          <w:p>
            <w:pPr>
              <w:spacing w:after="0"/>
            </w:pPr>
            <w:r>
              <w:rPr>
                <w:sz w:val="17"/>
              </w:rPr>
              <w:t>Phù hợp với sensing/LiDAR evaluation; thường thực tế hơn nếu experimental work tốt nhưng novelty vừa.</w:t>
            </w:r>
          </w:p>
        </w:tc>
      </w:tr>
    </w:tbl>
    <w:p>
      <w:pPr>
        <w:spacing w:after="0"/>
      </w:pPr>
    </w:p>
    <w:p>
      <w:pPr>
        <w:pStyle w:val="Heading1"/>
      </w:pPr>
      <w:r>
        <w:t>12. Chiến lược đề xuất để tối đa hóa khả năng publication</w:t>
      </w:r>
    </w:p>
    <w:p>
      <w:pPr>
        <w:pStyle w:val="ListBullet"/>
        <w:spacing w:after="50"/>
      </w:pPr>
      <w:r>
        <w:t>Không dừng ở câu kết luận kiểu “VoxelNeXt chính xác nhất, PointPillars nhanh nhất”.</w:t>
      </w:r>
    </w:p>
    <w:p>
      <w:pPr>
        <w:pStyle w:val="ListBullet"/>
        <w:spacing w:after="50"/>
      </w:pPr>
      <w:r>
        <w:t>Tìm các finding không hiển nhiên: thứ hạng thay đổi khi beam count giảm; model clean-best không nằm trên deployment Pareto frontier; long-range degradation khác rõ giữa architecture families.</w:t>
      </w:r>
    </w:p>
    <w:p>
      <w:pPr>
        <w:pStyle w:val="ListBullet"/>
        <w:spacing w:after="50"/>
      </w:pPr>
      <w:r>
        <w:t>Dùng scene-level split và công bố protocol đầy đủ để tránh nghi ngờ data leakage/fairness.</w:t>
      </w:r>
    </w:p>
    <w:p>
      <w:pPr>
        <w:pStyle w:val="ListBullet"/>
        <w:spacing w:after="50"/>
      </w:pPr>
      <w:r>
        <w:t>Ưu tiên reproducibility: config, environment manifest, seed, inference timing script, evaluation script.</w:t>
      </w:r>
    </w:p>
    <w:p>
      <w:pPr>
        <w:pStyle w:val="ListBullet"/>
        <w:spacing w:after="50"/>
      </w:pPr>
      <w:r>
        <w:t>Nếu kết quả Full benchmark đủ mạnh, target hợp lý nhất là IEEE IV/ITSC; nếu muốn journal, thử Robotics and Autonomous Systems trước. RA-L/T-IV nên dành cho phiên bản có robustness/dataset contribution mạnh hơn.</w:t>
      </w:r>
    </w:p>
    <w:p>
      <w:pPr>
        <w:pStyle w:val="Heading1"/>
      </w:pPr>
      <w:r>
        <w:t>13. Tuyên bố dự án đề xuất</w:t>
      </w:r>
    </w:p>
    <w:tbl>
      <w:tblPr>
        <w:tblW w:type="auto" w:w="0"/>
        <w:jc w:val="center"/>
        <w:tblLook w:firstColumn="1" w:firstRow="1" w:lastColumn="0" w:lastRow="0" w:noHBand="0" w:noVBand="1" w:val="04A0"/>
      </w:tblPr>
      <w:tblGrid>
        <w:gridCol w:w="10166"/>
      </w:tblGrid>
      <w:tr>
        <w:trPr>
          <w:tblHeader w:val="true"/>
        </w:trPr>
        <w:tc>
          <w:tcPr>
            <w:tcW w:type="dxa" w:w="10166"/>
            <w:shd w:fill="F3F6F8"/>
            <w:tcMar>
              <w:top w:w="130" w:type="dxa"/>
              <w:start w:w="150" w:type="dxa"/>
              <w:bottom w:w="130" w:type="dxa"/>
              <w:end w:w="150" w:type="dxa"/>
            </w:tcMar>
          </w:tcPr>
          <w:p>
            <w:r>
              <w:rPr>
                <w:b/>
                <w:i/>
                <w:sz w:val="20"/>
              </w:rPr>
              <w:t>A systematic cross-architecture evaluation of LiDAR 3D object detectors on Boreas-Objects-V1, with a focus on accuracy–efficiency trade-offs, range-dependent performance, and robustness to LiDAR beam sparsification.</w:t>
            </w:r>
          </w:p>
        </w:tc>
      </w:tr>
    </w:tbl>
    <w:p>
      <w:pPr>
        <w:pStyle w:val="Heading1"/>
      </w:pPr>
      <w:r>
        <w:t>Tài liệu tham khảo / nguồn kiểm chứng chính</w:t>
      </w:r>
    </w:p>
    <w:p>
      <w:pPr>
        <w:pStyle w:val="SmallNote"/>
        <w:spacing w:after="44"/>
      </w:pPr>
      <w:r>
        <w:t>Burnett, K. et al. (2023). Boreas: A multi-season autonomous driving dataset. The International Journal of Robotics Research. https://doi.org/10.1177/02783649231160195</w:t>
      </w:r>
    </w:p>
    <w:p>
      <w:pPr>
        <w:pStyle w:val="SmallNote"/>
        <w:spacing w:after="44"/>
      </w:pPr>
      <w:r>
        <w:t>IEEE Intelligent Vehicles Symposium 2026 Call for Papers. Topics include Sensing and Perception; Safety Testing and Validation of Autonomous Vehicles. https://enotice.vtools.ieee.org/attachments/download/46345</w:t>
      </w:r>
    </w:p>
    <w:p>
      <w:pPr>
        <w:pStyle w:val="SmallNote"/>
        <w:spacing w:after="44"/>
      </w:pPr>
      <w:r>
        <w:t>IEEE ITSS – IEEE International Conference on Intelligent Transportation Systems (ITSC): annual flagship conference. https://ieee-itss.org/conf/itsc/</w:t>
      </w:r>
    </w:p>
    <w:p>
      <w:pPr>
        <w:pStyle w:val="SmallNote"/>
        <w:spacing w:after="44"/>
      </w:pPr>
      <w:r>
        <w:t>Elsevier – Robotics and Autonomous Systems: Aims &amp; Scope. https://www.sciencedirect.com/journal/robotics-and-autonomous-systems</w:t>
      </w:r>
    </w:p>
    <w:p>
      <w:pPr>
        <w:pStyle w:val="SmallNote"/>
        <w:spacing w:after="44"/>
      </w:pPr>
      <w:r>
        <w:t>SCImago Journal Rank (2024): Robotics and Autonomous Systems – Q1; IEEE Robotics and Automation Letters – Q1. https://www.scimagojr.com/</w:t>
      </w:r>
    </w:p>
    <w:p>
      <w:pPr>
        <w:pStyle w:val="SmallNote"/>
        <w:spacing w:after="44"/>
      </w:pPr>
      <w:r>
        <w:t>IEEE ITSS – IEEE Transactions on Intelligent Vehicles: Scope. https://ieee-itss.org/pub/t-iv/</w:t>
      </w:r>
    </w:p>
    <w:p>
      <w:pPr>
        <w:pStyle w:val="SmallNote"/>
        <w:spacing w:after="44"/>
      </w:pPr>
      <w:r>
        <w:t>Gupta, H., Lilienthal, A. J., &amp; Andreasson, H. (2025). Evaluating LiDAR Perception Algorithms for All-Weather Autonomy. Sensors, 25(24), 7436. https://doi.org/10.3390/s25247436</w:t>
      </w:r>
    </w:p>
    <w:p>
      <w:pPr>
        <w:pStyle w:val="SmallNote"/>
        <w:spacing w:after="44"/>
      </w:pPr>
      <w:r>
        <w:t>Matteazzi, A., Arnold, M., &amp; Tutsch, D. Boreas 3D Object Detection Benchmark for Adverse Weather Conditions (B-3DOD-B-AWC). https://github.com/matteandre/B-3DOD-B-AWC</w:t>
      </w:r>
    </w:p>
    <w:p>
      <w:pPr>
        <w:pStyle w:val="SmallNote"/>
      </w:pPr>
      <w:r>
        <w:t>Ghi chú: Quartile và chỉ số xếp hạng có thể thay đổi theo năm, category và cơ sở dữ liệu; cần kiểm tra lại tại thời điểm nộp bài.</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Project summary – Boreas LiDAR 3D Detection Benchmark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