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0CF36AC1" w:rsidR="001235D3" w:rsidRPr="00DB19EF" w:rsidRDefault="001235D3" w:rsidP="001235D3">
      <w:pPr>
        <w:pStyle w:val="Standard"/>
      </w:pPr>
      <w:r w:rsidRPr="00DB19EF">
        <w:t xml:space="preserve">Danielle </w:t>
      </w:r>
      <w:proofErr w:type="spellStart"/>
      <w:r w:rsidRPr="00DB19EF">
        <w:t>Davenport</w:t>
      </w:r>
      <w:r w:rsidRPr="008729FC">
        <w:rPr>
          <w:highlight w:val="yellow"/>
          <w:vertAlign w:val="superscript"/>
        </w:rPr>
        <w:t>a</w:t>
      </w:r>
      <w:r w:rsidR="001707CE" w:rsidRPr="008729FC">
        <w:rPr>
          <w:highlight w:val="yellow"/>
          <w:vertAlign w:val="superscript"/>
        </w:rPr>
        <w:t>d</w:t>
      </w:r>
      <w:proofErr w:type="spellEnd"/>
      <w:r w:rsidRPr="00DB19EF">
        <w:t xml:space="preserve">, Paul </w:t>
      </w:r>
      <w:proofErr w:type="spellStart"/>
      <w:r w:rsidRPr="00DB19EF">
        <w:t>Butcher</w:t>
      </w:r>
      <w:r w:rsidRPr="00DB19EF">
        <w:rPr>
          <w:vertAlign w:val="superscript"/>
        </w:rPr>
        <w:t>b</w:t>
      </w:r>
      <w:proofErr w:type="spellEnd"/>
      <w:r w:rsidRPr="00DB19EF">
        <w:t xml:space="preserve">, Sara </w:t>
      </w:r>
      <w:proofErr w:type="spellStart"/>
      <w:r w:rsidRPr="00DB19EF">
        <w:t>Andreotti</w:t>
      </w:r>
      <w:r w:rsidRPr="00DB19EF">
        <w:rPr>
          <w:vertAlign w:val="superscript"/>
        </w:rPr>
        <w:t>c</w:t>
      </w:r>
      <w:proofErr w:type="spellEnd"/>
      <w:r w:rsidRPr="00DB19EF">
        <w:t>, Conrad</w:t>
      </w:r>
      <w:r w:rsidRPr="00DB19EF">
        <w:rPr>
          <w:shd w:val="clear" w:color="auto" w:fill="FFFFFF"/>
        </w:rPr>
        <w:t> </w:t>
      </w:r>
      <w:proofErr w:type="spellStart"/>
      <w:r w:rsidRPr="00DB19EF">
        <w:rPr>
          <w:shd w:val="clear" w:color="auto" w:fill="FFFFFF"/>
        </w:rPr>
        <w:t>Matthee</w:t>
      </w:r>
      <w:r w:rsidRPr="00DB19EF">
        <w:rPr>
          <w:vertAlign w:val="superscript"/>
        </w:rPr>
        <w:t>c</w:t>
      </w:r>
      <w:proofErr w:type="spellEnd"/>
      <w:r w:rsidRPr="00DB19EF">
        <w:t xml:space="preserve">, Andrew </w:t>
      </w:r>
      <w:proofErr w:type="spellStart"/>
      <w:r w:rsidRPr="00DB19EF">
        <w:t>Jones</w:t>
      </w:r>
      <w:r w:rsidRPr="00DB19EF">
        <w:rPr>
          <w:vertAlign w:val="superscript"/>
        </w:rPr>
        <w:t>a</w:t>
      </w:r>
      <w:proofErr w:type="spellEnd"/>
      <w:r w:rsidRPr="00DB19EF">
        <w:t xml:space="preserve">, Jennifer </w:t>
      </w:r>
      <w:proofErr w:type="spellStart"/>
      <w:r w:rsidRPr="00DB19EF">
        <w:t>Ovenden</w:t>
      </w:r>
      <w:r w:rsidRPr="00DB19EF">
        <w:rPr>
          <w:vertAlign w:val="superscript"/>
        </w:rPr>
        <w:t>a</w:t>
      </w:r>
      <w:proofErr w:type="spellEnd"/>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3828BA97" w:rsidR="001235D3" w:rsidRPr="001707CE" w:rsidRDefault="001235D3" w:rsidP="001235D3">
      <w:pPr>
        <w:pStyle w:val="Standard"/>
        <w:rPr>
          <w:highlight w:val="magenta"/>
        </w:rPr>
      </w:pPr>
      <w:r w:rsidRPr="00DB19EF">
        <w:t>Danielle Davenport</w:t>
      </w:r>
    </w:p>
    <w:p w14:paraId="1F87F4EE" w14:textId="55EAB71C" w:rsidR="001235D3" w:rsidRPr="008729FC" w:rsidRDefault="001235D3" w:rsidP="001235D3">
      <w:pPr>
        <w:pStyle w:val="Standard"/>
        <w:rPr>
          <w:lang w:val="en-US"/>
        </w:rPr>
      </w:pPr>
      <w:r w:rsidRPr="008729FC">
        <w:rPr>
          <w:highlight w:val="yellow"/>
          <w:lang w:val="en-US"/>
        </w:rPr>
        <w:t>Email: dani</w:t>
      </w:r>
      <w:r w:rsidR="001707CE" w:rsidRPr="008729FC">
        <w:rPr>
          <w:highlight w:val="yellow"/>
          <w:lang w:val="en-US"/>
        </w:rPr>
        <w:t>davenport.au@gmail.com</w:t>
      </w:r>
    </w:p>
    <w:p w14:paraId="3DCC2275" w14:textId="77777777" w:rsidR="001235D3" w:rsidRPr="008729FC" w:rsidRDefault="001235D3" w:rsidP="001235D3">
      <w:pPr>
        <w:pStyle w:val="Standard"/>
        <w:rPr>
          <w:lang w:val="en-US"/>
        </w:rPr>
      </w:pPr>
    </w:p>
    <w:p w14:paraId="5B52ADBB" w14:textId="77777777" w:rsidR="001235D3" w:rsidRPr="00DB19EF" w:rsidRDefault="001235D3" w:rsidP="001235D3">
      <w:pPr>
        <w:pStyle w:val="Standard"/>
      </w:pPr>
      <w:r w:rsidRPr="00DB19EF">
        <w:t>Paul Butcher &lt;paul.butcher@dpi.nsw.gov.au&gt;</w:t>
      </w:r>
    </w:p>
    <w:p w14:paraId="0DDFC6DD" w14:textId="77777777" w:rsidR="001235D3" w:rsidRPr="008729FC" w:rsidRDefault="001235D3" w:rsidP="001235D3">
      <w:pPr>
        <w:pStyle w:val="Standard"/>
        <w:rPr>
          <w:lang w:val="fr-FR"/>
        </w:rPr>
      </w:pPr>
      <w:r w:rsidRPr="008729FC">
        <w:rPr>
          <w:lang w:val="fr-FR"/>
        </w:rPr>
        <w:t>Sara Andreotti &lt;andreottisara@gmail.com&gt;</w:t>
      </w:r>
    </w:p>
    <w:p w14:paraId="5CDCBD49" w14:textId="77777777" w:rsidR="001235D3" w:rsidRPr="00DB19EF" w:rsidRDefault="001235D3" w:rsidP="001235D3">
      <w:pPr>
        <w:pStyle w:val="Standard"/>
      </w:pPr>
      <w:r w:rsidRPr="00DB19EF">
        <w:t>Conrad</w:t>
      </w:r>
      <w:r w:rsidRPr="00DB19EF">
        <w:rPr>
          <w:shd w:val="clear" w:color="auto" w:fill="FFFFFF"/>
        </w:rPr>
        <w:t> </w:t>
      </w:r>
      <w:proofErr w:type="spellStart"/>
      <w:r w:rsidRPr="00DB19EF">
        <w:rPr>
          <w:shd w:val="clear" w:color="auto" w:fill="FFFFFF"/>
        </w:rPr>
        <w:t>Matthee</w:t>
      </w:r>
      <w:proofErr w:type="spellEnd"/>
      <w:r w:rsidRPr="00DB19EF">
        <w:rPr>
          <w:shd w:val="clear" w:color="auto" w:fill="FFFFFF"/>
        </w:rPr>
        <w:t xml:space="preserv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305D919E" w14:textId="4244B318" w:rsidR="001235D3" w:rsidRDefault="001235D3" w:rsidP="001707CE">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6B7423F7" w14:textId="65F47104" w:rsidR="001707CE" w:rsidRPr="001707CE" w:rsidRDefault="001707CE" w:rsidP="001707CE">
      <w:pPr>
        <w:pStyle w:val="Standard"/>
      </w:pPr>
      <w:r w:rsidRPr="008729FC">
        <w:rPr>
          <w:highlight w:val="yellow"/>
          <w:vertAlign w:val="superscript"/>
        </w:rPr>
        <w:t>d</w:t>
      </w:r>
      <w:r w:rsidR="008729FC" w:rsidRPr="008729FC">
        <w:rPr>
          <w:highlight w:val="yellow"/>
        </w:rPr>
        <w:t xml:space="preserve"> Ecosystem Science, Fisheries and Oceans Canada, 1 Challenger Drive, Bedford, NS, Canada</w:t>
      </w:r>
      <w:r w:rsidR="008729FC">
        <w:t xml:space="preserve"> </w:t>
      </w: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0" w:name="_gjdgxs"/>
      <w:bookmarkEnd w:id="0"/>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61A68C6E" w:rsidR="001235D3" w:rsidRPr="00DB19EF" w:rsidRDefault="001235D3" w:rsidP="001235D3">
      <w:pPr>
        <w:pStyle w:val="Standard"/>
        <w:spacing w:after="280"/>
      </w:pPr>
      <w:r w:rsidRPr="00DB19EF">
        <w:t>D.D performed sample preparation, data analysis, simulations and wrote the manuscript. AJ calculated combined estimates. J.O. &amp; P.B coordinated and led the project. P.B collected NSW samples. S.A and C.M collected SA samples and performed microsatellite genotyping. All authors contributed to</w:t>
      </w:r>
      <w:r w:rsidR="00535091">
        <w:t xml:space="preserve"> and approved </w:t>
      </w:r>
      <w:r w:rsidRPr="00DB19EF">
        <w:t>the final 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3F93ED53" w:rsidR="001235D3" w:rsidRPr="00856062" w:rsidRDefault="001235D3" w:rsidP="001235D3">
      <w:pPr>
        <w:pStyle w:val="Standard"/>
        <w:spacing w:line="480" w:lineRule="auto"/>
        <w:jc w:val="both"/>
      </w:pPr>
      <w:bookmarkStart w:id="1" w:name="_30j0zll"/>
      <w:bookmarkEnd w:id="1"/>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r w:rsidR="007061FF" w:rsidRPr="008729FC">
        <w:rPr>
          <w:highlight w:val="yellow"/>
        </w:rPr>
        <w:t>,</w:t>
      </w:r>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sibship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
          <m:t xml:space="preserve">Nb(SA) </m:t>
        </m:r>
      </m:oMath>
      <w:r w:rsidR="00F92635" w:rsidRPr="008729FC">
        <w:rPr>
          <w:highlight w:val="yellow"/>
        </w:rPr>
        <w:t xml:space="preserve">was  </w:t>
      </w:r>
      <w:r w:rsidR="00CE6E35">
        <w:rPr>
          <w:highlight w:val="yellow"/>
        </w:rPr>
        <w:t xml:space="preserve">96 (56, 198 </w:t>
      </w:r>
      <w:r w:rsidR="00F92635" w:rsidRPr="008729FC">
        <w:rPr>
          <w:highlight w:val="yellow"/>
        </w:rPr>
        <w:t xml:space="preserve">95%CI) and </w:t>
      </w:r>
      <m:oMath>
        <m:r>
          <w:rPr>
            <w:rFonts w:ascii="Cambria Math" w:hAnsi="Cambria Math"/>
            <w:highlight w:val="yellow"/>
          </w:rPr>
          <m:t>Nb(LD</m:t>
        </m:r>
      </m:oMath>
      <w:r w:rsidR="00F92635" w:rsidRPr="008729FC">
        <w:rPr>
          <w:highlight w:val="yellow"/>
        </w:rPr>
        <w:t>)</w:t>
      </w:r>
      <w:r w:rsidR="00DF7F73" w:rsidRPr="008729FC">
        <w:rPr>
          <w:highlight w:val="yellow"/>
        </w:rPr>
        <w:t xml:space="preserve"> was </w:t>
      </w:r>
      <w:r w:rsidR="00CE6E35">
        <w:rPr>
          <w:highlight w:val="yellow"/>
        </w:rPr>
        <w:t xml:space="preserve">247 </w:t>
      </w:r>
      <w:r w:rsidR="00DF7F73" w:rsidRPr="008729FC">
        <w:rPr>
          <w:highlight w:val="yellow"/>
        </w:rPr>
        <w:t>(</w:t>
      </w:r>
      <w:r w:rsidR="00CE6E35">
        <w:rPr>
          <w:highlight w:val="yellow"/>
        </w:rPr>
        <w:t xml:space="preserve">148, 567 </w:t>
      </w:r>
      <w:r w:rsidR="00DF7F73" w:rsidRPr="008729FC">
        <w:rPr>
          <w:highlight w:val="yellow"/>
        </w:rPr>
        <w:t>95%</w:t>
      </w:r>
      <w:r w:rsidR="00F92635" w:rsidRPr="008729FC">
        <w:rPr>
          <w:highlight w:val="yellow"/>
        </w:rPr>
        <w:t>CI).</w:t>
      </w:r>
      <w:r w:rsidR="00F92635" w:rsidRPr="00DB19EF" w:rsidDel="00DE7480">
        <w:t xml:space="preserve"> </w:t>
      </w:r>
      <w:bookmarkStart w:id="2" w:name="_Hlk167311241"/>
      <w:r w:rsidR="000E3124" w:rsidRPr="00DB19EF">
        <w:t>We show that over the time period</w:t>
      </w:r>
      <w:r w:rsidR="009B2031">
        <w:t xml:space="preserve"> studied </w:t>
      </w:r>
      <m:oMath>
        <m:r>
          <w:rPr>
            <w:rFonts w:ascii="Cambria Math" w:hAnsi="Cambria Math"/>
          </w:rPr>
          <m:t xml:space="preserve">Nb </m:t>
        </m:r>
      </m:oMath>
      <w:r w:rsidR="00B97EE2" w:rsidRPr="008729FC">
        <w:t>was</w:t>
      </w:r>
      <w:r w:rsidR="000E3124" w:rsidRPr="008729FC">
        <w:t xml:space="preserve"> </w:t>
      </w:r>
      <w:r w:rsidR="00C06639" w:rsidRPr="008729FC">
        <w:t>stable</w:t>
      </w:r>
      <w:r w:rsidR="00CA3FE4" w:rsidRPr="008729FC">
        <w:t xml:space="preserve"> </w:t>
      </w:r>
      <w:r w:rsidR="00495911" w:rsidRPr="008729FC">
        <w:rPr>
          <w:color w:val="000000" w:themeColor="text1"/>
          <w:highlight w:val="yellow"/>
        </w:rPr>
        <w:t>(</w:t>
      </w:r>
      <w:r w:rsidR="00621923" w:rsidRPr="008729FC">
        <w:rPr>
          <w:color w:val="000000" w:themeColor="text1"/>
          <w:highlight w:val="yellow"/>
        </w:rPr>
        <w:t>showed no detectable trend</w:t>
      </w:r>
      <w:r w:rsidR="00495911" w:rsidRPr="008729FC">
        <w:rPr>
          <w:color w:val="000000" w:themeColor="text1"/>
          <w:highlight w:val="yellow"/>
        </w:rPr>
        <w:t>)</w:t>
      </w:r>
      <w:r w:rsidR="00CA3FE4" w:rsidRPr="008729FC">
        <w:rPr>
          <w:color w:val="000000" w:themeColor="text1"/>
          <w:highlight w:val="yellow"/>
        </w:rPr>
        <w:t>,</w:t>
      </w:r>
      <w:r w:rsidR="00F92635" w:rsidRPr="00DB19EF">
        <w:t xml:space="preserve"> </w:t>
      </w:r>
      <w:r w:rsidR="005923A0" w:rsidRPr="00964DBB">
        <w:rPr>
          <w:highlight w:val="yellow"/>
        </w:rPr>
        <w:t xml:space="preserve">and ranged </w:t>
      </w:r>
      <w:r w:rsidR="00F92635" w:rsidRPr="00964DBB">
        <w:rPr>
          <w:highlight w:val="yellow"/>
        </w:rPr>
        <w:t>between</w:t>
      </w:r>
      <m:oMath>
        <m:r>
          <w:rPr>
            <w:rFonts w:ascii="Cambria Math" w:hAnsi="Cambria Math"/>
            <w:highlight w:val="yellow"/>
          </w:rPr>
          <m:t xml:space="preserve"> </m:t>
        </m:r>
        <m:r>
          <w:rPr>
            <w:rFonts w:ascii="Cambria Math" w:hAnsi="Cambria Math"/>
            <w:highlight w:val="yellow"/>
          </w:rPr>
          <m:t xml:space="preserve"> </m:t>
        </m:r>
      </m:oMath>
      <w:r w:rsidR="00964DBB" w:rsidRPr="00964DBB">
        <w:rPr>
          <w:rFonts w:cs="Calibri"/>
          <w:color w:val="000000"/>
          <w:sz w:val="22"/>
          <w:szCs w:val="22"/>
          <w:highlight w:val="yellow"/>
        </w:rPr>
        <w:t>74.57</w:t>
      </w:r>
      <w:r w:rsidR="00964DBB" w:rsidRPr="00964DBB">
        <w:rPr>
          <w:rFonts w:cs="Calibri"/>
          <w:color w:val="000000"/>
          <w:highlight w:val="yellow"/>
        </w:rPr>
        <w:t>(</w:t>
      </w:r>
      <w:r w:rsidR="00964DBB" w:rsidRPr="00964DBB">
        <w:rPr>
          <w:rFonts w:cs="Calibri"/>
          <w:color w:val="000000"/>
          <w:sz w:val="22"/>
          <w:szCs w:val="22"/>
          <w:highlight w:val="yellow"/>
        </w:rPr>
        <w:t>20.57</w:t>
      </w:r>
      <w:r w:rsidR="00964DBB" w:rsidRPr="00964DBB">
        <w:rPr>
          <w:highlight w:val="yellow"/>
        </w:rPr>
        <w:t>±SD) and</w:t>
      </w:r>
      <m:oMath>
        <m:r>
          <w:rPr>
            <w:rFonts w:ascii="Cambria Math" w:hAnsi="Cambria Math"/>
            <w:highlight w:val="yellow"/>
          </w:rPr>
          <m:t xml:space="preserve"> </m:t>
        </m:r>
      </m:oMath>
      <w:r w:rsidR="00964DBB" w:rsidRPr="00964DBB">
        <w:rPr>
          <w:rFonts w:cs="Calibri"/>
          <w:color w:val="000000"/>
          <w:sz w:val="22"/>
          <w:szCs w:val="22"/>
          <w:highlight w:val="yellow"/>
        </w:rPr>
        <w:t>228.66</w:t>
      </w:r>
      <w:r w:rsidR="00964DBB" w:rsidRPr="00964DBB">
        <w:rPr>
          <w:rFonts w:cs="Calibri"/>
          <w:color w:val="000000"/>
          <w:highlight w:val="yellow"/>
        </w:rPr>
        <w:t>(57.75</w:t>
      </w:r>
      <w:r w:rsidR="00964DBB" w:rsidRPr="00964DBB">
        <w:rPr>
          <w:highlight w:val="yellow"/>
        </w:rPr>
        <w:t xml:space="preserve">±SD) per year using a combined estimate of </w:t>
      </w:r>
      <m:oMath>
        <m:r>
          <w:rPr>
            <w:rFonts w:ascii="Cambria Math" w:hAnsi="Cambria Math"/>
            <w:highlight w:val="yellow"/>
          </w:rPr>
          <m:t>Nb</m:t>
        </m:r>
        <m:d>
          <m:dPr>
            <m:ctrlPr>
              <w:rPr>
                <w:rFonts w:ascii="Cambria Math" w:hAnsi="Cambria Math"/>
                <w:i/>
                <w:highlight w:val="yellow"/>
              </w:rPr>
            </m:ctrlPr>
          </m:dPr>
          <m:e>
            <m:r>
              <w:rPr>
                <w:rFonts w:ascii="Cambria Math" w:hAnsi="Cambria Math"/>
                <w:highlight w:val="yellow"/>
              </w:rPr>
              <m:t>LD+SA</m:t>
            </m:r>
          </m:e>
        </m:d>
      </m:oMath>
      <w:r w:rsidR="00964DBB" w:rsidRPr="00964DBB">
        <w:rPr>
          <w:highlight w:val="yellow"/>
        </w:rPr>
        <w:t xml:space="preserve"> from SNP loci</w:t>
      </w:r>
      <w:r w:rsidR="00BC6693" w:rsidRPr="008729FC">
        <w:t xml:space="preserve">. </w:t>
      </w:r>
      <w:bookmarkEnd w:id="2"/>
      <w:r w:rsidR="008729FC" w:rsidRPr="008729FC">
        <w:t xml:space="preserve">In addition, a simulation approach showed that in this population the effective population size (Ne) per generation can be expected to be larger than Nb per reproductive cycle. This study demonstrates how breeding population size can be monitored over </w:t>
      </w:r>
      <w:r w:rsidR="008729FC" w:rsidRPr="008729FC">
        <w:lastRenderedPageBreak/>
        <w:t>time to provide insight into the effectiveness of recovery and conservation measures for the white shark, where the methods described here may be applicable to other data-poor species of conservation concern.</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3DE399D9"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proofErr w:type="spellStart"/>
      <w:r w:rsidR="00EA1234" w:rsidRPr="00AC6E6B">
        <w:rPr>
          <w:rFonts w:asciiTheme="minorHAnsi" w:hAnsiTheme="minorHAnsi" w:cstheme="minorHAnsi"/>
          <w:noProof/>
          <w:color w:val="000000" w:themeColor="text1"/>
        </w:rPr>
        <w:t>Roff</w:t>
      </w:r>
      <w:proofErr w:type="spellEnd"/>
      <w:r w:rsidR="00EA1234" w:rsidRPr="00AC6E6B">
        <w:rPr>
          <w:rFonts w:asciiTheme="minorHAnsi" w:hAnsiTheme="minorHAnsi" w:cstheme="minorHAnsi"/>
          <w:noProof/>
          <w:color w:val="000000" w:themeColor="text1"/>
        </w:rPr>
        <w:t>,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over time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w:t>
      </w:r>
      <w:proofErr w:type="spellStart"/>
      <w:r w:rsidR="00AC6E6B" w:rsidRPr="00AC6E6B">
        <w:rPr>
          <w:rFonts w:asciiTheme="minorHAnsi" w:eastAsia="Times New Roman" w:hAnsiTheme="minorHAnsi" w:cstheme="minorHAnsi"/>
          <w:color w:val="000000" w:themeColor="text1"/>
          <w:lang w:val="en-US" w:eastAsia="en-US"/>
        </w:rPr>
        <w:t>Luikart</w:t>
      </w:r>
      <w:proofErr w:type="spellEnd"/>
      <w:r w:rsidR="00AC6E6B" w:rsidRPr="00AC6E6B">
        <w:rPr>
          <w:rFonts w:asciiTheme="minorHAnsi" w:eastAsia="Times New Roman" w:hAnsiTheme="minorHAnsi" w:cstheme="minorHAnsi"/>
          <w:color w:val="000000" w:themeColor="text1"/>
          <w:lang w:val="en-US" w:eastAsia="en-US"/>
        </w:rPr>
        <w:t xml:space="preserve">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stream productivity, competition, habitat quality, year-of-the-young development) effects on long-term population viability, with significant implications for management and conservation.</w:t>
      </w:r>
    </w:p>
    <w:p w14:paraId="4F9DAA25" w14:textId="28925313"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4"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5"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w:t>
      </w:r>
      <w:r w:rsidRPr="008729FC">
        <w:t xml:space="preserve">population recovery using historical catch data </w:t>
      </w:r>
      <w:r w:rsidR="00F55D9E" w:rsidRPr="008729FC">
        <w:fldChar w:fldCharType="begin"/>
      </w:r>
      <w:r w:rsidR="00F55D9E" w:rsidRPr="008729FC">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rsidRPr="008729FC">
        <w:fldChar w:fldCharType="separate"/>
      </w:r>
      <w:r w:rsidR="00F55D9E" w:rsidRPr="008729FC">
        <w:rPr>
          <w:noProof/>
        </w:rPr>
        <w:t>(Roff et al., 2018)</w:t>
      </w:r>
      <w:r w:rsidR="00F55D9E" w:rsidRPr="008729FC">
        <w:fldChar w:fldCharType="end"/>
      </w:r>
      <w:r w:rsidRPr="008729FC">
        <w:t xml:space="preserve"> and genetic close-kin-mark-recapture (Bruce et al., 2018; Hillary et al., 2018) found </w:t>
      </w:r>
      <w:r w:rsidR="00495911" w:rsidRPr="008729FC">
        <w:t xml:space="preserve">a </w:t>
      </w:r>
      <w:r w:rsidR="00802CCE" w:rsidRPr="008729FC">
        <w:t>“</w:t>
      </w:r>
      <w:r w:rsidR="00495911" w:rsidRPr="008729FC">
        <w:t>stable</w:t>
      </w:r>
      <w:r w:rsidR="00802CCE" w:rsidRPr="008729FC">
        <w:t>”</w:t>
      </w:r>
      <w:r w:rsidR="00495911" w:rsidRPr="008729FC">
        <w:t xml:space="preserve"> tren</w:t>
      </w:r>
      <w:r w:rsidR="00802CCE" w:rsidRPr="008729FC">
        <w:t>d (Bruce et al., 2018</w:t>
      </w:r>
      <w:r w:rsidR="008729FC" w:rsidRPr="008729FC">
        <w:t>)</w:t>
      </w:r>
      <w:r w:rsidRPr="008729FC">
        <w:t>.</w:t>
      </w:r>
      <w:r w:rsidRPr="00DB19EF">
        <w:t xml:space="preserve">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w:t>
      </w:r>
      <w:proofErr w:type="spellStart"/>
      <w:r w:rsidRPr="00DB19EF">
        <w:t>i</w:t>
      </w:r>
      <w:proofErr w:type="spellEnd"/>
      <w:r w:rsidRPr="00DB19EF">
        <w:t xml:space="preserve">)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ratios using published estimates of the </w:t>
      </w:r>
      <w:r w:rsidRPr="007061FF">
        <w:lastRenderedPageBreak/>
        <w:t>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w:t>
      </w:r>
      <w:proofErr w:type="spellStart"/>
      <w:r w:rsidRPr="007061FF">
        <w:rPr>
          <w:i/>
        </w:rPr>
        <w:t>carcahrias</w:t>
      </w:r>
      <w:proofErr w:type="spellEnd"/>
      <w:r w:rsidRPr="007061FF">
        <w:rPr>
          <w:i/>
        </w:rPr>
        <w:t xml:space="preserve">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6" w:name="_1fob9te"/>
      <w:bookmarkEnd w:id="6"/>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7" w:name="_3znysh7"/>
      <w:bookmarkEnd w:id="7"/>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Zealand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 xml:space="preserve">between Buckley Beach, </w:t>
      </w:r>
      <w:proofErr w:type="spellStart"/>
      <w:r w:rsidRPr="00DB19EF">
        <w:t>Narrawalle</w:t>
      </w:r>
      <w:proofErr w:type="spellEnd"/>
      <w:r w:rsidRPr="00DB19EF">
        <w:t xml:space="preserv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w:t>
      </w:r>
      <w:proofErr w:type="spellStart"/>
      <w:r w:rsidRPr="00DB19EF">
        <w:t>Bertalanffy</w:t>
      </w:r>
      <w:proofErr w:type="spellEnd"/>
      <w:r w:rsidRPr="00DB19EF">
        <w:t xml:space="preserve">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proofErr w:type="spellStart"/>
      <w:r w:rsidRPr="00DB19EF">
        <w:rPr>
          <w:i/>
        </w:rPr>
        <w:t>lm</w:t>
      </w:r>
      <w:proofErr w:type="spellEnd"/>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08F9D8F0" w:rsidR="001235D3" w:rsidRPr="00DB19EF" w:rsidRDefault="001235D3" w:rsidP="001235D3">
      <w:pPr>
        <w:pStyle w:val="Standard"/>
        <w:spacing w:line="480" w:lineRule="auto"/>
        <w:ind w:firstLine="720"/>
        <w:jc w:val="both"/>
      </w:pPr>
      <w:r w:rsidRPr="00DB19EF">
        <w:t>DNA was extracted from all samples (</w:t>
      </w:r>
      <w:r w:rsidRPr="00DB19EF">
        <w:rPr>
          <w:i/>
        </w:rPr>
        <w:t xml:space="preserve">n </w:t>
      </w:r>
      <w:r w:rsidRPr="00DB19EF">
        <w:t xml:space="preserve">= 279) using a standard salt precipitation procedure. The samples were genotyped by </w:t>
      </w:r>
      <w:proofErr w:type="spellStart"/>
      <w:r w:rsidRPr="00DB19EF">
        <w:t>DArT</w:t>
      </w:r>
      <w:proofErr w:type="spellEnd"/>
      <w:r w:rsidRPr="00DB19EF">
        <w:t xml:space="preserve"> P/L laboratory using </w:t>
      </w:r>
      <w:proofErr w:type="spellStart"/>
      <w:r w:rsidRPr="00DB19EF">
        <w:t>DArTseq</w:t>
      </w:r>
      <w:r w:rsidRPr="00DB19EF">
        <w:rPr>
          <w:vertAlign w:val="superscript"/>
        </w:rPr>
        <w:t>TM</w:t>
      </w:r>
      <w:proofErr w:type="spellEnd"/>
      <w:r w:rsidRPr="00DB19EF">
        <w:rPr>
          <w:vertAlign w:val="superscript"/>
        </w:rPr>
        <w:t xml:space="preserve">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w:t>
      </w:r>
      <w:proofErr w:type="spellStart"/>
      <w:r w:rsidRPr="00DB19EF">
        <w:t>DArT</w:t>
      </w:r>
      <w:proofErr w:type="spellEnd"/>
      <w:r w:rsidRPr="00DB19EF">
        <w:t xml:space="preserve">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bookmarkStart w:id="8" w:name="_Hlk167287761"/>
      <w:r w:rsidRPr="00DB19EF">
        <w:t xml:space="preserve">Post-processing of SNPs </w:t>
      </w:r>
      <w:r w:rsidRPr="00DB19EF">
        <w:lastRenderedPageBreak/>
        <w:t>was completed in R (R Core Team, 2018</w:t>
      </w:r>
      <w:r w:rsidRPr="008729FC">
        <w:rPr>
          <w:highlight w:val="yellow"/>
        </w:rPr>
        <w:t xml:space="preserve">) using </w:t>
      </w:r>
      <w:r w:rsidR="008729FC" w:rsidRPr="008729FC">
        <w:rPr>
          <w:highlight w:val="yellow"/>
        </w:rPr>
        <w:t>various R-packages (</w:t>
      </w:r>
      <w:proofErr w:type="spellStart"/>
      <w:r w:rsidR="008729FC" w:rsidRPr="008729FC">
        <w:rPr>
          <w:highlight w:val="yellow"/>
        </w:rPr>
        <w:t>dart</w:t>
      </w:r>
      <w:r w:rsidR="00165548">
        <w:rPr>
          <w:highlight w:val="yellow"/>
        </w:rPr>
        <w:t>R</w:t>
      </w:r>
      <w:proofErr w:type="spellEnd"/>
      <w:r w:rsidR="00165548">
        <w:rPr>
          <w:highlight w:val="yellow"/>
        </w:rPr>
        <w:t>, v.2</w:t>
      </w:r>
      <w:r w:rsidR="008729FC" w:rsidRPr="008729FC">
        <w:rPr>
          <w:highlight w:val="yellow"/>
        </w:rPr>
        <w:t xml:space="preserve"> (</w:t>
      </w:r>
      <w:proofErr w:type="spellStart"/>
      <w:r w:rsidR="008729FC" w:rsidRPr="008729FC">
        <w:rPr>
          <w:highlight w:val="yellow"/>
        </w:rPr>
        <w:t>Mijangos</w:t>
      </w:r>
      <w:proofErr w:type="spellEnd"/>
      <w:r w:rsidR="008729FC" w:rsidRPr="008729FC">
        <w:rPr>
          <w:highlight w:val="yellow"/>
        </w:rPr>
        <w:t xml:space="preserve"> et al., 2022), </w:t>
      </w:r>
      <w:proofErr w:type="spellStart"/>
      <w:r w:rsidR="008729FC" w:rsidRPr="008729FC">
        <w:rPr>
          <w:highlight w:val="yellow"/>
        </w:rPr>
        <w:t>hieferstat</w:t>
      </w:r>
      <w:proofErr w:type="spellEnd"/>
      <w:r w:rsidR="008729FC" w:rsidRPr="008729FC">
        <w:rPr>
          <w:highlight w:val="yellow"/>
        </w:rPr>
        <w:t xml:space="preserve"> (Goudet &amp; </w:t>
      </w:r>
      <w:proofErr w:type="spellStart"/>
      <w:r w:rsidR="008729FC" w:rsidRPr="008729FC">
        <w:rPr>
          <w:highlight w:val="yellow"/>
        </w:rPr>
        <w:t>Jombart</w:t>
      </w:r>
      <w:proofErr w:type="spellEnd"/>
      <w:r w:rsidR="008729FC" w:rsidRPr="008729FC">
        <w:rPr>
          <w:highlight w:val="yellow"/>
        </w:rPr>
        <w:t>, 2022))</w:t>
      </w:r>
      <w:r w:rsidR="008729FC">
        <w:t xml:space="preserve"> </w:t>
      </w:r>
      <w:bookmarkEnd w:id="8"/>
      <w:r w:rsidR="008729FC">
        <w:t xml:space="preserve">and </w:t>
      </w:r>
      <w:r w:rsidRPr="00DB19EF">
        <w:t xml:space="preserve">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w:t>
      </w:r>
      <w:r w:rsidR="00127F1D">
        <w:rPr>
          <w:rFonts w:eastAsia="Times New Roman" w:cs="Times New Roman"/>
        </w:rPr>
        <w:t xml:space="preserve">see </w:t>
      </w:r>
      <w:r w:rsidR="00C04828" w:rsidRPr="00C04828">
        <w:rPr>
          <w:rFonts w:eastAsia="Times New Roman" w:cs="Times New Roman"/>
        </w:rPr>
        <w:t>O’Leary, Puritz, Willis, Hollenbeck, &amp; Portnoy, 2018; Shafer et al., 2017)</w:t>
      </w:r>
      <w:r w:rsidR="00C04828">
        <w:fldChar w:fldCharType="end"/>
      </w:r>
      <w:r w:rsidR="008729FC">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proofErr w:type="spellStart"/>
      <w:r w:rsidRPr="00DB19EF">
        <w:rPr>
          <w:i/>
        </w:rPr>
        <w:t>adegenet</w:t>
      </w:r>
      <w:proofErr w:type="spellEnd"/>
      <w:r w:rsidRPr="00DB19EF">
        <w:rPr>
          <w:i/>
        </w:rPr>
        <w:t xml:space="preserve"> </w:t>
      </w:r>
      <w:r w:rsidRPr="00DB19EF">
        <w:t>(</w:t>
      </w:r>
      <w:proofErr w:type="spellStart"/>
      <w:r w:rsidRPr="00DB19EF">
        <w:t>Jombart</w:t>
      </w:r>
      <w:proofErr w:type="spellEnd"/>
      <w:r w:rsidRPr="00DB19EF">
        <w:t xml:space="preserve"> et al., 2010). The optimal number of discriminant functions to retain was calculated using the function </w:t>
      </w:r>
      <w:proofErr w:type="spellStart"/>
      <w:r w:rsidRPr="00DB19EF">
        <w:rPr>
          <w:i/>
        </w:rPr>
        <w:t>xvalDAPC</w:t>
      </w:r>
      <w:proofErr w:type="spellEnd"/>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w:t>
      </w:r>
      <w:proofErr w:type="spellStart"/>
      <w:r w:rsidRPr="00DB19EF">
        <w:t>Spaet</w:t>
      </w:r>
      <w:proofErr w:type="spellEnd"/>
      <w:r w:rsidRPr="00DB19EF">
        <w:t xml:space="preserve">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proofErr w:type="spellStart"/>
      <w:r w:rsidRPr="00DB19EF">
        <w:rPr>
          <w:i/>
        </w:rPr>
        <w:t>pcadapt</w:t>
      </w:r>
      <w:proofErr w:type="spellEnd"/>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DB19EF">
        <w:rPr>
          <w:i/>
        </w:rPr>
        <w:t>k</w:t>
      </w:r>
      <w:r w:rsidRPr="00DB19EF">
        <w:t xml:space="preserve"> = </w:t>
      </w:r>
      <w:r w:rsidR="00E41F1C">
        <w:t>1</w:t>
      </w:r>
      <w:r w:rsidRPr="00DB19EF">
        <w:t xml:space="preserve"> principal components). We removed loci when the q-value (</w:t>
      </w:r>
      <w:r w:rsidR="001D300F" w:rsidRPr="00DB19EF">
        <w:t>test statistic)</w:t>
      </w:r>
      <w:r w:rsidRPr="00DB19EF">
        <w:t xml:space="preserve"> was smaller than the false-</w:t>
      </w:r>
      <w:r w:rsidRPr="00DB19EF">
        <w:lastRenderedPageBreak/>
        <w:t>discovery rate (</w:t>
      </w:r>
      <m:oMath>
        <m:r>
          <w:rPr>
            <w:rFonts w:ascii="Cambria Math" w:hAnsi="Cambria Math"/>
          </w:rPr>
          <m:t>α=0.05</m:t>
        </m:r>
      </m:oMath>
      <w:r w:rsidRPr="00DB19EF">
        <w:t>). In the 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w:t>
      </w:r>
      <w:r w:rsidR="00A963F6">
        <w:t>(call rate) &gt; 0.75</w:t>
      </w:r>
      <w:r w:rsidRPr="00DB19EF">
        <w:t xml:space="preserve">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9" w:author="Dani Davenport" w:date="2020-09-22T14:49:00Z">
            <w:rPr>
              <w:rFonts w:ascii="Cambria Math" w:hAnsi="Cambria Math"/>
            </w:rPr>
            <m:t>&lt;</m:t>
          </w:ins>
        </m:r>
        <m:r>
          <w:rPr>
            <w:rFonts w:ascii="Cambria Math" w:hAnsi="Cambria Math"/>
          </w:rPr>
          <m:t>0.1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B279C4">
        <w:rPr>
          <w:rFonts w:cs="Calibri"/>
        </w:rPr>
        <w:t>±</w:t>
      </w:r>
      <w:r w:rsidR="00B279C4">
        <w:t xml:space="preserve"> </w:t>
      </w:r>
      <w:r w:rsidRPr="00DB19EF">
        <w:t xml:space="preserve">0.5 (see Table S3.2, Supplementary Materials 3). Dataset-2 was then used to make estimates of </w:t>
      </w:r>
      <w:r w:rsidRPr="00DB19EF">
        <w:rPr>
          <w:i/>
        </w:rPr>
        <w:t>Nb</w:t>
      </w:r>
      <w:r w:rsidRPr="00DB19EF">
        <w:t>.</w:t>
      </w:r>
    </w:p>
    <w:p w14:paraId="073B5EA6" w14:textId="0EF8EB21"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xml:space="preserve">. Fourteen of the loci were derived from previous studies: Ccar1, Ccar13, Ccar6.27x, Ccar9, Iox10, Cca1419, Cca83, Cca1536, Cca1273, Cca711, Cca1072, Cca1466, Cca1276, Cca1226 (Gubili et al., 2010; O’Leary et al., 2015; Pardini et al., 2001). Five loci (CcSA1, CcSA2, CcSA3, CcSA4 and CcSA5) were developed using the methods described in Andreotti et al. (2016). Wet lab genotyping was performed as described by Andreotti et al. (2016) and genotype scoring was performed in </w:t>
      </w:r>
      <w:proofErr w:type="spellStart"/>
      <w:r w:rsidRPr="00DB19EF">
        <w:rPr>
          <w:i/>
        </w:rPr>
        <w:t>Geneious</w:t>
      </w:r>
      <w:proofErr w:type="spellEnd"/>
      <w:r w:rsidRPr="00DB19EF">
        <w:rPr>
          <w:i/>
        </w:rPr>
        <w:t xml:space="preserve"> </w:t>
      </w:r>
      <w:r w:rsidR="00E34FD8" w:rsidRPr="00DB19EF">
        <w:t>v.</w:t>
      </w:r>
      <w:r w:rsidRPr="00DB19EF">
        <w:t xml:space="preserve">5.6.5 (©2005 - 2012 Biomatters Ltd). Assessment of amplification errors, such as large allele drop-out, stuttering and null alleles was conducted in </w:t>
      </w:r>
      <w:proofErr w:type="spellStart"/>
      <w:r w:rsidRPr="00DB19EF">
        <w:rPr>
          <w:i/>
        </w:rPr>
        <w:t>Microchecker</w:t>
      </w:r>
      <w:proofErr w:type="spellEnd"/>
      <w:r w:rsidRPr="00DB19EF">
        <w:rPr>
          <w:i/>
        </w:rPr>
        <w:t xml:space="preserve">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proofErr w:type="spellStart"/>
      <w:r w:rsidRPr="00DB19EF">
        <w:rPr>
          <w:i/>
        </w:rPr>
        <w:t>hierfstat</w:t>
      </w:r>
      <w:proofErr w:type="spellEnd"/>
      <w:r w:rsidRPr="00DB19EF">
        <w:rPr>
          <w:i/>
        </w:rPr>
        <w:t xml:space="preserve">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w:t>
      </w:r>
    </w:p>
    <w:p w14:paraId="0BAAA926" w14:textId="77777777" w:rsidR="001235D3" w:rsidRPr="00DB19EF" w:rsidRDefault="001235D3" w:rsidP="001235D3">
      <w:pPr>
        <w:pStyle w:val="Standard"/>
        <w:ind w:firstLine="720"/>
        <w:rPr>
          <w:i/>
          <w:sz w:val="28"/>
          <w:szCs w:val="28"/>
        </w:rPr>
      </w:pPr>
      <w:r w:rsidRPr="00DB19EF">
        <w:rPr>
          <w:i/>
          <w:sz w:val="28"/>
          <w:szCs w:val="28"/>
        </w:rPr>
        <w:lastRenderedPageBreak/>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The formulation of the LD method uses the observed average disequilibrium between pairs of independent (</w:t>
      </w:r>
      <w:proofErr w:type="spellStart"/>
      <w:r w:rsidRPr="00DB19EF">
        <w:t>ie</w:t>
      </w:r>
      <w:proofErr w:type="spellEnd"/>
      <w:r w:rsidRPr="00DB19EF">
        <w:t xml:space="preserv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t>
      </w:r>
      <w:proofErr w:type="spellStart"/>
      <w:r w:rsidRPr="00DB19EF">
        <w:t>Waples</w:t>
      </w:r>
      <w:proofErr w:type="spellEnd"/>
      <w:r w:rsidRPr="00DB19EF">
        <w:t xml:space="preserve">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proofErr w:type="spellStart"/>
      <w:r w:rsidRPr="00DB19EF">
        <w:rPr>
          <w:i/>
        </w:rPr>
        <w:t>NeEstimator</w:t>
      </w:r>
      <w:proofErr w:type="spellEnd"/>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a higher probability of sharing the same parent or parents (Wang, 2009). The SA method (Wang, 2009) determines the size of the parental generation by estimating the probability that dyad </w:t>
      </w:r>
      <w:r w:rsidRPr="00DB19EF">
        <w:lastRenderedPageBreak/>
        <w:t xml:space="preserve">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2415237F" w:rsidR="001235D3"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w:t>
      </w:r>
      <w:r w:rsidR="00127F1D">
        <w:t xml:space="preserve"> </w:t>
      </w:r>
      <w:bookmarkStart w:id="10" w:name="_Hlk167287895"/>
      <w:r w:rsidR="00127F1D" w:rsidRPr="008729FC">
        <w:rPr>
          <w:highlight w:val="yellow"/>
        </w:rPr>
        <w:t xml:space="preserve">Where the sample size of a cohort was less than 25, results are reported in Supplementary </w:t>
      </w:r>
      <w:r w:rsidR="008729FC" w:rsidRPr="008729FC">
        <w:rPr>
          <w:highlight w:val="yellow"/>
        </w:rPr>
        <w:t>Materials Table</w:t>
      </w:r>
      <w:r w:rsidR="00BD313A">
        <w:rPr>
          <w:highlight w:val="yellow"/>
        </w:rPr>
        <w:t xml:space="preserve"> </w:t>
      </w:r>
      <w:r w:rsidR="008729FC" w:rsidRPr="008729FC">
        <w:rPr>
          <w:highlight w:val="yellow"/>
        </w:rPr>
        <w:t>S5.1</w:t>
      </w:r>
      <w:r w:rsidR="00127F1D" w:rsidRPr="008729FC">
        <w:rPr>
          <w:highlight w:val="yellow"/>
        </w:rPr>
        <w:t>.</w:t>
      </w:r>
      <w:r w:rsidRPr="00DB19EF">
        <w:t xml:space="preserve"> </w:t>
      </w:r>
      <w:bookmarkEnd w:id="10"/>
      <w:r w:rsidRPr="00DB19EF">
        <w:t xml:space="preserve">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proofErr w:type="spellStart"/>
      <w:r w:rsidRPr="00DB19EF">
        <w:rPr>
          <w:i/>
        </w:rPr>
        <w:t>NeEstimator</w:t>
      </w:r>
      <w:proofErr w:type="spellEnd"/>
      <w:r w:rsidRPr="00DB19EF">
        <w:rPr>
          <w:i/>
        </w:rPr>
        <w:t xml:space="preserve">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t>
      </w:r>
      <w:proofErr w:type="spellStart"/>
      <w:r w:rsidR="00F9297F" w:rsidRPr="00DB19EF">
        <w:t>Waples</w:t>
      </w:r>
      <w:proofErr w:type="spellEnd"/>
      <w:r w:rsidR="00F9297F" w:rsidRPr="00DB19EF">
        <w:t xml:space="preserve">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siblings depending on the mating system chosen in the programs settings, which may impact the final estimate of </w:t>
      </w:r>
      <m:oMath>
        <m:r>
          <w:rPr>
            <w:rFonts w:ascii="Cambria Math" w:hAnsi="Cambria Math"/>
          </w:rPr>
          <m:t>Nb(SA)</m:t>
        </m:r>
      </m:oMath>
      <w:r w:rsidRPr="00DB19EF">
        <w:t xml:space="preserve">. We tested different COLONY parameters to determine any effects on </w:t>
      </w:r>
      <w:r w:rsidRPr="00DB19EF">
        <w:lastRenderedPageBreak/>
        <w:t xml:space="preserve">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11" w:name="_2et92p0"/>
      <w:bookmarkEnd w:id="11"/>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by taking the harmonic mean of the two values, weighted by the inverse of their variances as suggested in previous studies (see </w:t>
      </w:r>
      <w:proofErr w:type="spellStart"/>
      <w:r w:rsidRPr="00DB19EF">
        <w:t>Waples</w:t>
      </w:r>
      <w:proofErr w:type="spellEnd"/>
      <w:r w:rsidRPr="00DB19EF">
        <w:t xml:space="preserve">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12" w:name="_7g9bs8fxf0s4"/>
      <w:bookmarkEnd w:id="12"/>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w:lastRenderedPageBreak/>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proofErr w:type="spellStart"/>
      <w:r w:rsidR="00A64675" w:rsidRPr="0082670C">
        <w:rPr>
          <w:rFonts w:ascii="Calibri" w:hAnsi="Calibri" w:cs="Times"/>
          <w:color w:val="000000"/>
          <w:lang w:eastAsia="en-US"/>
        </w:rPr>
        <w:t>Felsenstein</w:t>
      </w:r>
      <w:proofErr w:type="spellEnd"/>
      <w:r w:rsidR="00A64675" w:rsidRPr="0082670C">
        <w:rPr>
          <w:rFonts w:ascii="Calibri" w:hAnsi="Calibri" w:cs="Times"/>
          <w:color w:val="000000"/>
          <w:lang w:eastAsia="en-US"/>
        </w:rPr>
        <w:t xml:space="preserve">–Hill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proofErr w:type="spellStart"/>
      <w:r w:rsidR="00AE0D9B" w:rsidRPr="0082670C">
        <w:rPr>
          <w:rFonts w:ascii="Calibri" w:hAnsi="Calibri"/>
          <w:i/>
          <w:color w:val="000000"/>
        </w:rPr>
        <w:t>AgeNe</w:t>
      </w:r>
      <w:proofErr w:type="spellEnd"/>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proofErr w:type="spellStart"/>
      <w:r w:rsidR="00AE0D9B" w:rsidRPr="0082670C">
        <w:rPr>
          <w:rFonts w:ascii="Calibri" w:hAnsi="Calibri"/>
        </w:rPr>
        <w:t>Felsenstein</w:t>
      </w:r>
      <w:proofErr w:type="spellEnd"/>
      <w:r w:rsidR="00AE0D9B" w:rsidRPr="0082670C">
        <w:rPr>
          <w:rFonts w:ascii="Calibri" w:hAnsi="Calibri"/>
        </w:rPr>
        <w:t xml:space="preserve">-Hill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w:t>
      </w:r>
      <w:proofErr w:type="spellStart"/>
      <w:r w:rsidR="00A64675" w:rsidRPr="0082670C">
        <w:rPr>
          <w:rFonts w:ascii="Calibri" w:hAnsi="Calibri"/>
        </w:rPr>
        <w:t>simuPOP</w:t>
      </w:r>
      <w:proofErr w:type="spellEnd"/>
      <w:r w:rsidR="00A64675"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w:t>
      </w:r>
      <w:proofErr w:type="spellStart"/>
      <w:r w:rsidR="002D38CD" w:rsidRPr="0082670C">
        <w:rPr>
          <w:rFonts w:ascii="Calibri" w:hAnsi="Calibri"/>
        </w:rPr>
        <w:t>AgeNe</w:t>
      </w:r>
      <w:proofErr w:type="spellEnd"/>
      <w:r w:rsidR="002D38CD" w:rsidRPr="0082670C">
        <w:rPr>
          <w:rFonts w:ascii="Calibri" w:hAnsi="Calibri"/>
        </w:rPr>
        <w:t xml:space="preserv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individual was represented by 100 microsatellite-like loci, each having 10 possible 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w:t>
      </w:r>
      <w:r w:rsidR="00A64675" w:rsidRPr="0082670C">
        <w:rPr>
          <w:rFonts w:ascii="Calibri" w:hAnsi="Calibri"/>
        </w:rPr>
        <w:lastRenderedPageBreak/>
        <w:t xml:space="preserve">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t>
      </w:r>
      <w:proofErr w:type="spellStart"/>
      <w:r w:rsidR="00CC4208">
        <w:rPr>
          <w:rFonts w:ascii="Calibri" w:hAnsi="Calibri"/>
        </w:rPr>
        <w:t>Waples</w:t>
      </w:r>
      <w:proofErr w:type="spellEnd"/>
      <w:r w:rsidR="00CC4208">
        <w:rPr>
          <w:rFonts w:ascii="Calibri" w:hAnsi="Calibri"/>
        </w:rPr>
        <w:t xml:space="preserve">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43AD198B" w:rsidR="001235D3" w:rsidRPr="00DB19EF" w:rsidRDefault="001235D3" w:rsidP="00F9297F">
      <w:pPr>
        <w:pStyle w:val="Standard"/>
        <w:spacing w:after="240" w:line="480" w:lineRule="auto"/>
        <w:jc w:val="both"/>
      </w:pPr>
      <w:bookmarkStart w:id="13" w:name="_Hlk167288386"/>
      <w:r w:rsidRPr="00DB19EF">
        <w:t xml:space="preserve">Data for this study are available </w:t>
      </w:r>
      <w:r w:rsidR="008729FC">
        <w:t xml:space="preserve">at </w:t>
      </w:r>
      <w:proofErr w:type="spellStart"/>
      <w:r w:rsidR="00276A6B">
        <w:t>zendoo</w:t>
      </w:r>
      <w:proofErr w:type="spellEnd"/>
      <w:r w:rsidR="00276A6B">
        <w:t xml:space="preserve">: </w:t>
      </w:r>
      <w:hyperlink r:id="rId6" w:history="1">
        <w:r w:rsidR="00276A6B" w:rsidRPr="00276A6B">
          <w:rPr>
            <w:rStyle w:val="Hyperlink"/>
            <w:rFonts w:asciiTheme="minorHAnsi" w:hAnsiTheme="minorHAnsi" w:cstheme="minorHAnsi"/>
          </w:rPr>
          <w:t>10.5281/zenodo.10172611</w:t>
        </w:r>
      </w:hyperlink>
      <w:r w:rsidR="00276A6B">
        <w:t xml:space="preserve">. </w:t>
      </w:r>
      <w:r w:rsidR="00F9297F" w:rsidRPr="00DB19EF">
        <w:t xml:space="preserve"> </w:t>
      </w:r>
      <w:bookmarkEnd w:id="13"/>
      <w:r w:rsidR="00F9297F" w:rsidRPr="00DB19EF">
        <w:t xml:space="preserve">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DB19EF" w:rsidRDefault="001235D3" w:rsidP="001235D3">
      <w:pPr>
        <w:pStyle w:val="Standard"/>
        <w:keepNext/>
        <w:keepLines/>
        <w:widowControl/>
        <w:spacing w:before="120" w:after="280" w:line="480" w:lineRule="auto"/>
        <w:ind w:firstLine="720"/>
      </w:pPr>
      <w:r w:rsidRPr="00DB19EF">
        <w:rPr>
          <w:i/>
          <w:sz w:val="28"/>
          <w:szCs w:val="28"/>
        </w:rPr>
        <w:t>Results</w:t>
      </w:r>
    </w:p>
    <w:p w14:paraId="5F84B4E1" w14:textId="6AE6958C" w:rsidR="001235D3" w:rsidRPr="00DB19EF" w:rsidRDefault="005B66DA" w:rsidP="001235D3">
      <w:pPr>
        <w:pStyle w:val="Standard"/>
        <w:keepNext/>
        <w:keepLines/>
        <w:widowControl/>
        <w:spacing w:before="200"/>
        <w:ind w:firstLine="720"/>
      </w:pPr>
      <w:bookmarkStart w:id="14" w:name="_tyjcwt"/>
      <w:bookmarkEnd w:id="14"/>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15" w:name="_3dy6vkm"/>
      <w:bookmarkEnd w:id="15"/>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2013 (n = 67), 2014 (n = 23), 2015 (n = 9) and 2016 (n = 2). The physical size of individuals within age-cohorts increased with age (Figure S2.1). The range of FL between age-cohorts overlapped principally driven by heterogeneous year-of-capture sampling; 2010 (</w:t>
      </w:r>
      <w:r w:rsidRPr="00DB19EF">
        <w:rPr>
          <w:i/>
        </w:rPr>
        <w:t>n</w:t>
      </w:r>
      <w:r w:rsidRPr="00DB19EF">
        <w:t xml:space="preserve"> = 30, 224 cm and 296 cm FL), 2011 (</w:t>
      </w:r>
      <w:r w:rsidRPr="00DB19EF">
        <w:rPr>
          <w:i/>
        </w:rPr>
        <w:t xml:space="preserve">n </w:t>
      </w:r>
      <w:r w:rsidRPr="00DB19EF">
        <w:t xml:space="preserve">= 43, 207 cm and 276 cm FL), </w:t>
      </w:r>
      <w:r w:rsidRPr="00DB19EF">
        <w:lastRenderedPageBreak/>
        <w:t>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3FC1C784" w:rsidR="001235D3" w:rsidRPr="00DB19EF" w:rsidRDefault="001235D3" w:rsidP="001235D3">
      <w:pPr>
        <w:pStyle w:val="Standard"/>
        <w:spacing w:after="280" w:line="480" w:lineRule="auto"/>
        <w:ind w:firstLine="720"/>
        <w:jc w:val="both"/>
      </w:pPr>
      <w:bookmarkStart w:id="16" w:name="_1t3h5sf"/>
      <w:bookmarkEnd w:id="16"/>
      <w:r w:rsidRPr="00DB19EF">
        <w:t xml:space="preserve">The DArTsoft14 pipeline delivered 9841 SNPs across 9180 loci. </w:t>
      </w:r>
      <w:bookmarkStart w:id="17" w:name="_Hlk167312185"/>
      <w:r w:rsidRPr="00DB19EF">
        <w:t xml:space="preserve">The final SNP dataset after filtering </w:t>
      </w:r>
      <w:r w:rsidRPr="004E664E">
        <w:t xml:space="preserve">consisted of </w:t>
      </w:r>
      <w:r w:rsidR="00E73F31" w:rsidRPr="003574B3">
        <w:rPr>
          <w:rFonts w:asciiTheme="minorHAnsi" w:hAnsiTheme="minorHAnsi" w:cstheme="minorHAnsi"/>
          <w:highlight w:val="yellow"/>
        </w:rPr>
        <w:t>425</w:t>
      </w:r>
      <w:r w:rsidR="003574B3" w:rsidRPr="003574B3">
        <w:rPr>
          <w:rFonts w:asciiTheme="minorHAnsi" w:hAnsiTheme="minorHAnsi" w:cstheme="minorHAnsi"/>
          <w:highlight w:val="yellow"/>
        </w:rPr>
        <w:t>6</w:t>
      </w:r>
      <w:r w:rsidR="008729FC" w:rsidRPr="004E664E">
        <w:t xml:space="preserve"> </w:t>
      </w:r>
      <w:r w:rsidRPr="004E664E">
        <w:t>diallelic</w:t>
      </w:r>
      <w:r w:rsidRPr="00DB19EF">
        <w:t xml:space="preserve"> SNPs consisting of </w:t>
      </w:r>
      <w:r w:rsidRPr="003574B3">
        <w:rPr>
          <w:highlight w:val="yellow"/>
        </w:rPr>
        <w:t>23</w:t>
      </w:r>
      <w:r w:rsidR="00E73F31" w:rsidRPr="003574B3">
        <w:rPr>
          <w:highlight w:val="yellow"/>
        </w:rPr>
        <w:t>5</w:t>
      </w:r>
      <w:r w:rsidRPr="00DB19EF">
        <w:t xml:space="preserve"> EAP individuals with high quality SNP genotypes (Dataset-2). </w:t>
      </w:r>
      <w:bookmarkEnd w:id="17"/>
      <w:r w:rsidRPr="00DB19EF">
        <w:t xml:space="preserve">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18" w:name="_4d34og8"/>
      <w:bookmarkEnd w:id="18"/>
      <w:r w:rsidRPr="00DB19EF">
        <w:rPr>
          <w:i/>
          <w:sz w:val="28"/>
          <w:szCs w:val="28"/>
        </w:rPr>
        <w:t>Estima</w:t>
      </w:r>
      <w:r w:rsidR="00F808E2">
        <w:rPr>
          <w:i/>
          <w:sz w:val="28"/>
          <w:szCs w:val="28"/>
        </w:rPr>
        <w:t>tes</w:t>
      </w:r>
      <w:r w:rsidRPr="00DB19EF">
        <w:rPr>
          <w:i/>
          <w:sz w:val="28"/>
          <w:szCs w:val="28"/>
        </w:rPr>
        <w:t xml:space="preserve"> of Nb</w:t>
      </w:r>
    </w:p>
    <w:p w14:paraId="04BE897D" w14:textId="2A87D9F6" w:rsidR="001235D3" w:rsidRPr="008729FC" w:rsidRDefault="001235D3" w:rsidP="001235D3">
      <w:pPr>
        <w:pStyle w:val="Standard"/>
        <w:spacing w:after="280" w:line="480" w:lineRule="auto"/>
        <w:jc w:val="both"/>
        <w:rPr>
          <w:u w:val="single"/>
        </w:rPr>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w:t>
      </w:r>
      <w:commentRangeStart w:id="19"/>
      <w:r w:rsidRPr="00DB19EF">
        <w:t>interval</w:t>
      </w:r>
      <w:r w:rsidR="008729FC">
        <w:t>s</w:t>
      </w:r>
      <w:commentRangeEnd w:id="19"/>
      <w:r w:rsidR="008729FC">
        <w:rPr>
          <w:rStyle w:val="CommentReference"/>
          <w:rFonts w:cs="Mangal"/>
        </w:rPr>
        <w:commentReference w:id="19"/>
      </w:r>
      <w:r w:rsidR="008729FC">
        <w:t xml:space="preserve"> </w:t>
      </w:r>
      <w:r w:rsidRPr="00DB19EF">
        <w:t xml:space="preserve">(Table 1). Estimates of </w:t>
      </w:r>
      <m:oMath>
        <m:r>
          <w:rPr>
            <w:rFonts w:ascii="Cambria Math" w:hAnsi="Cambria Math"/>
          </w:rPr>
          <m:t>Nb(SA)</m:t>
        </m:r>
      </m:oMath>
      <w:r w:rsidRPr="00DB19EF">
        <w:t xml:space="preserve"> were not sensitive to changes in model parameters such as the sibship prior, inbreeding settings, error rate and polygamy settings (Table S4.1). This was consistent with the expectations of the SA estimator which becomes increasingly independent of the prior with increasing marker information and sample size.  </w:t>
      </w:r>
    </w:p>
    <w:p w14:paraId="1CAD3829" w14:textId="77777777" w:rsidR="001235D3" w:rsidRPr="00DB19EF" w:rsidRDefault="001235D3" w:rsidP="001235D3">
      <w:pPr>
        <w:pStyle w:val="Standard"/>
        <w:spacing w:after="280" w:line="480" w:lineRule="auto"/>
        <w:ind w:firstLine="720"/>
        <w:jc w:val="both"/>
      </w:pPr>
      <w:r w:rsidRPr="00DB19EF">
        <w:lastRenderedPageBreak/>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The number of estimated full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6654B6D0" w:rsidR="0093442F" w:rsidRDefault="001235D3" w:rsidP="0093442F">
      <w:pPr>
        <w:pStyle w:val="Standard"/>
        <w:spacing w:after="280" w:line="480" w:lineRule="auto"/>
        <w:ind w:firstLine="720"/>
        <w:jc w:val="both"/>
        <w:rPr>
          <w:ins w:id="20"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estimated value </w:t>
      </w:r>
      <w:bookmarkStart w:id="21" w:name="_Hlk167383373"/>
      <w:bookmarkStart w:id="22" w:name="_Hlk167383832"/>
      <w:r w:rsidRPr="00DB19EF">
        <w:t xml:space="preserve">in </w:t>
      </w:r>
      <w:bookmarkEnd w:id="21"/>
      <w:bookmarkEnd w:id="22"/>
      <w:r w:rsidR="003574B3" w:rsidRPr="00471320">
        <w:rPr>
          <w:rFonts w:cstheme="minorHAnsi"/>
        </w:rPr>
        <w:t xml:space="preserve">2010, </w:t>
      </w:r>
      <m:oMath>
        <m:r>
          <w:rPr>
            <w:rFonts w:ascii="Cambria Math" w:hAnsi="Cambria Math" w:cstheme="minorHAnsi"/>
            <w:highlight w:val="yellow"/>
          </w:rPr>
          <m:t>Nb</m:t>
        </m:r>
        <m:d>
          <m:dPr>
            <m:ctrlPr>
              <w:rPr>
                <w:rFonts w:ascii="Cambria Math" w:hAnsi="Cambria Math" w:cstheme="minorHAnsi"/>
                <w:i/>
                <w:highlight w:val="yellow"/>
              </w:rPr>
            </m:ctrlPr>
          </m:dPr>
          <m:e>
            <m:r>
              <w:rPr>
                <w:rFonts w:ascii="Cambria Math" w:hAnsi="Cambria Math" w:cstheme="minorHAnsi"/>
                <w:highlight w:val="yellow"/>
              </w:rPr>
              <m:t>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2010</m:t>
                </m:r>
              </m:sub>
            </m:sSub>
          </m:e>
        </m:d>
        <m:r>
          <w:rPr>
            <w:rFonts w:ascii="Cambria Math" w:hAnsi="Cambria Math" w:cstheme="minorHAnsi"/>
            <w:highlight w:val="yellow"/>
          </w:rPr>
          <m:t>=</m:t>
        </m:r>
        <m:r>
          <m:rPr>
            <m:sty m:val="p"/>
          </m:rPr>
          <w:rPr>
            <w:rFonts w:ascii="Cambria Math" w:hAnsi="Cambria Math" w:cs="Calibri"/>
            <w:color w:val="000000"/>
            <w:sz w:val="22"/>
            <w:szCs w:val="22"/>
            <w:highlight w:val="yellow"/>
          </w:rPr>
          <m:t>74.57</m:t>
        </m:r>
        <m:r>
          <m:rPr>
            <m:sty m:val="p"/>
          </m:rPr>
          <w:rPr>
            <w:rFonts w:ascii="Cambria Math" w:hAnsi="Cambria Math" w:cs="Calibri"/>
            <w:color w:val="000000"/>
            <w:highlight w:val="yellow"/>
          </w:rPr>
          <m:t>(</m:t>
        </m:r>
        <m:r>
          <m:rPr>
            <m:sty m:val="p"/>
          </m:rPr>
          <w:rPr>
            <w:rFonts w:ascii="Cambria Math" w:hAnsi="Cambria Math" w:cs="Calibri"/>
            <w:color w:val="000000"/>
            <w:sz w:val="22"/>
            <w:szCs w:val="22"/>
            <w:highlight w:val="yellow"/>
          </w:rPr>
          <m:t>20.57 SD</m:t>
        </m:r>
        <m:r>
          <m:rPr>
            <m:sty m:val="p"/>
          </m:rPr>
          <w:rPr>
            <w:rFonts w:ascii="Cambria Math" w:hAnsi="Cambria Math" w:cs="Calibri"/>
            <w:color w:val="000000"/>
            <w:highlight w:val="yellow"/>
          </w:rPr>
          <m:t>)</m:t>
        </m:r>
        <m:r>
          <w:rPr>
            <w:rFonts w:ascii="Cambria Math" w:hAnsi="Cambria Math" w:cstheme="minorHAnsi"/>
            <w:highlight w:val="yellow"/>
          </w:rPr>
          <m:t>,</m:t>
        </m:r>
      </m:oMath>
      <w:r w:rsidR="003574B3" w:rsidRPr="00192470">
        <w:rPr>
          <w:rFonts w:cstheme="minorHAnsi"/>
          <w:highlight w:val="yellow"/>
        </w:rPr>
        <w:t xml:space="preserve"> to the largest in 2011, </w:t>
      </w:r>
      <m:oMath>
        <m:r>
          <w:rPr>
            <w:rFonts w:ascii="Cambria Math" w:hAnsi="Cambria Math" w:cstheme="minorHAnsi"/>
            <w:highlight w:val="yellow"/>
          </w:rPr>
          <m:t>Nb(LD+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2011</m:t>
            </m:r>
          </m:sub>
        </m:sSub>
        <m:r>
          <w:rPr>
            <w:rFonts w:ascii="Cambria Math" w:hAnsi="Cambria Math" w:cstheme="minorHAnsi"/>
            <w:highlight w:val="yellow"/>
          </w:rPr>
          <m:t>)=</m:t>
        </m:r>
        <m:r>
          <m:rPr>
            <m:sty m:val="p"/>
          </m:rPr>
          <w:rPr>
            <w:rFonts w:ascii="Cambria Math" w:hAnsi="Cambria Math" w:cs="Calibri"/>
            <w:color w:val="000000"/>
            <w:sz w:val="22"/>
            <w:szCs w:val="22"/>
            <w:highlight w:val="yellow"/>
          </w:rPr>
          <m:t>228.66</m:t>
        </m:r>
        <m:r>
          <m:rPr>
            <m:sty m:val="p"/>
          </m:rPr>
          <w:rPr>
            <w:rFonts w:ascii="Cambria Math" w:hAnsi="Cambria Math" w:cs="Calibri"/>
            <w:color w:val="000000"/>
            <w:highlight w:val="yellow"/>
          </w:rPr>
          <m:t>(57.75 SD</m:t>
        </m:r>
        <m:r>
          <m:rPr>
            <m:sty m:val="p"/>
          </m:rPr>
          <w:rPr>
            <w:rFonts w:ascii="Cambria Math" w:eastAsia="Times New Roman" w:hAnsi="Cambria Math" w:cstheme="minorHAnsi"/>
            <w:highlight w:val="yellow"/>
          </w:rPr>
          <m:t>)</m:t>
        </m:r>
      </m:oMath>
      <w:r w:rsidR="003574B3" w:rsidRPr="00471320">
        <w:rPr>
          <w:rFonts w:cstheme="minorHAnsi"/>
        </w:rPr>
        <w:t xml:space="preserve"> (Table 1). The inferred ratio of </w:t>
      </w:r>
      <m:oMath>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oMath>
      <w:r w:rsidR="003574B3" w:rsidRPr="00471320">
        <w:rPr>
          <w:rFonts w:cstheme="minorHAnsi"/>
        </w:rPr>
        <w:t xml:space="preserve"> ranged from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2010</m:t>
            </m:r>
          </m:sub>
        </m:sSub>
      </m:oMath>
      <w:r w:rsidR="003574B3" w:rsidRPr="003574B3">
        <w:rPr>
          <w:rFonts w:cstheme="minorHAnsi"/>
          <w:highlight w:val="yellow"/>
        </w:rPr>
        <w:t xml:space="preserve"> = 0.1</w:t>
      </w:r>
      <w:r w:rsidR="00192470">
        <w:rPr>
          <w:rFonts w:cstheme="minorHAnsi"/>
          <w:highlight w:val="yellow"/>
        </w:rPr>
        <w:t>0</w:t>
      </w:r>
      <w:r w:rsidR="003574B3" w:rsidRPr="003574B3">
        <w:rPr>
          <w:rFonts w:cstheme="minorHAnsi"/>
          <w:highlight w:val="yellow"/>
        </w:rPr>
        <w:t xml:space="preserve"> to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2011</m:t>
            </m:r>
          </m:sub>
        </m:sSub>
      </m:oMath>
      <w:r w:rsidR="003574B3" w:rsidRPr="003574B3">
        <w:rPr>
          <w:rFonts w:cstheme="minorHAnsi"/>
          <w:highlight w:val="yellow"/>
        </w:rPr>
        <w:t xml:space="preserve"> = 0.3</w:t>
      </w:r>
      <w:r w:rsidR="00192470">
        <w:rPr>
          <w:rFonts w:cstheme="minorHAnsi"/>
          <w:highlight w:val="yellow"/>
        </w:rPr>
        <w:t>0</w:t>
      </w:r>
      <w:r w:rsidR="003574B3" w:rsidRPr="003574B3">
        <w:rPr>
          <w:rFonts w:cstheme="minorHAnsi"/>
          <w:highlight w:val="yellow"/>
        </w:rPr>
        <w:t>,  calculated</w:t>
      </w:r>
      <w:r w:rsidR="003574B3" w:rsidRPr="00471320">
        <w:rPr>
          <w:rFonts w:cstheme="minorHAnsi"/>
        </w:rPr>
        <w:t xml:space="preserve"> using estimates of </w:t>
      </w:r>
      <m:oMath>
        <m:r>
          <w:rPr>
            <w:rFonts w:ascii="Cambria Math" w:hAnsi="Cambria Math" w:cstheme="minorHAnsi"/>
          </w:rPr>
          <m:t xml:space="preserve">Na </m:t>
        </m:r>
      </m:oMath>
      <w:r w:rsidR="003574B3" w:rsidRPr="00471320">
        <w:rPr>
          <w:rFonts w:cstheme="minorHAnsi"/>
        </w:rPr>
        <w:t>from Bruce et al., (2018)</w:t>
      </w:r>
    </w:p>
    <w:p w14:paraId="37B752C1" w14:textId="34E267E3" w:rsidR="00613C6E"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proofErr w:type="spellStart"/>
      <w:r w:rsidR="000E3124" w:rsidRPr="007061FF">
        <w:rPr>
          <w:i/>
        </w:rPr>
        <w:t>A</w:t>
      </w:r>
      <w:r w:rsidR="00C44FF7" w:rsidRPr="007061FF">
        <w:rPr>
          <w:i/>
        </w:rPr>
        <w:t>geNe</w:t>
      </w:r>
      <w:proofErr w:type="spellEnd"/>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 xml:space="preserve">To account for variations in breeding biology, further forward-time population simulations in </w:t>
      </w:r>
      <w:proofErr w:type="spellStart"/>
      <w:r w:rsidRPr="007061FF">
        <w:t>SimuP</w:t>
      </w:r>
      <w:r w:rsidR="00525C2D">
        <w:t>OP</w:t>
      </w:r>
      <w:proofErr w:type="spellEnd"/>
      <w:r w:rsidRPr="007061FF">
        <w:t xml:space="preserve"> showed the equivalent </w:t>
      </w:r>
      <w:r w:rsidR="00C44FF7" w:rsidRPr="007061FF">
        <w:t xml:space="preserve">no-skip breeding model closely reflected </w:t>
      </w:r>
      <w:proofErr w:type="spellStart"/>
      <w:r w:rsidR="00C44FF7" w:rsidRPr="007061FF">
        <w:t>AgeNe</w:t>
      </w:r>
      <w:proofErr w:type="spellEnd"/>
      <w:r w:rsidR="00C44FF7" w:rsidRPr="007061FF">
        <w:t xml:space="preserv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56C680EC" w14:textId="77777777" w:rsidR="008A545D" w:rsidRPr="00DB19EF" w:rsidRDefault="008A545D" w:rsidP="00276A6B">
      <w:pPr>
        <w:pStyle w:val="Standard"/>
        <w:spacing w:after="280" w:line="480" w:lineRule="auto"/>
        <w:ind w:firstLine="720"/>
        <w:jc w:val="both"/>
      </w:pPr>
    </w:p>
    <w:p w14:paraId="6C2B74DF" w14:textId="66AA1134" w:rsidR="001235D3" w:rsidRDefault="001235D3" w:rsidP="008729FC">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lastRenderedPageBreak/>
        <w:t>Discussion</w:t>
      </w:r>
    </w:p>
    <w:p w14:paraId="0E455BBA" w14:textId="36293A83" w:rsidR="007113F2"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Roff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Luikart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(Luikart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w:t>
      </w:r>
      <w:r w:rsidRPr="004D1991">
        <w:rPr>
          <w:rFonts w:asciiTheme="minorHAnsi" w:hAnsiTheme="minorHAnsi" w:cstheme="minorHAnsi"/>
          <w:lang w:val="en-US" w:eastAsia="en-US"/>
        </w:rPr>
        <w:lastRenderedPageBreak/>
        <w:t xml:space="preserve">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xml:space="preserve">, which would be of use to population monitoring and evaluation of conservation and management actions (Luikart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assessment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8729FC">
      <w:pPr>
        <w:spacing w:line="480" w:lineRule="auto"/>
        <w:jc w:val="both"/>
        <w:rPr>
          <w:rFonts w:asciiTheme="minorHAnsi" w:hAnsiTheme="minorHAnsi" w:cstheme="minorHAnsi"/>
          <w:lang w:val="en-US" w:eastAsia="en-US"/>
        </w:rPr>
      </w:pPr>
    </w:p>
    <w:p w14:paraId="6BFC7BF8" w14:textId="27E32FEE" w:rsidR="00CA2168"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comparable and results reflected differences between genetic marker type similar to those reported in previous studies (e.g., </w:t>
      </w:r>
      <w:proofErr w:type="spellStart"/>
      <w:r w:rsidRPr="004D1991">
        <w:rPr>
          <w:rFonts w:asciiTheme="minorHAnsi" w:hAnsiTheme="minorHAnsi" w:cstheme="minorHAnsi"/>
          <w:lang w:val="en-US" w:eastAsia="en-US"/>
        </w:rPr>
        <w:t>Beebee</w:t>
      </w:r>
      <w:proofErr w:type="spellEnd"/>
      <w:r w:rsidRPr="004D1991">
        <w:rPr>
          <w:rFonts w:asciiTheme="minorHAnsi" w:hAnsiTheme="minorHAnsi" w:cstheme="minorHAnsi"/>
          <w:lang w:val="en-US" w:eastAsia="en-US"/>
        </w:rPr>
        <w:t xml:space="preserv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(Ackerman et al., 2017; Wang, 2009) which have demonstrated that false sibships (type I errors) </w:t>
      </w:r>
      <w:r w:rsidRPr="004D1991">
        <w:rPr>
          <w:rFonts w:asciiTheme="minorHAnsi" w:hAnsiTheme="minorHAnsi" w:cstheme="minorHAnsi"/>
          <w:lang w:val="en-US" w:eastAsia="en-US"/>
        </w:rPr>
        <w:lastRenderedPageBreak/>
        <w:t xml:space="preserve">occur with a higher frequency compared to false nonsibships (type II errors) when either genetic information or true sibship within a sample is insufficient (i.e., few loci, low polymorphism, small sample size relative to total population size, low inclusion of siblings). </w:t>
      </w:r>
      <w:bookmarkStart w:id="23" w:name="_Hlk167384007"/>
      <m:oMath>
        <m:r>
          <w:rPr>
            <w:rFonts w:ascii="Cambria Math" w:hAnsi="Cambria Math"/>
            <w:highlight w:val="yellow"/>
          </w:rPr>
          <m:t>Nb</m:t>
        </m:r>
      </m:oMath>
      <w:r w:rsidRPr="003574B3">
        <w:rPr>
          <w:rFonts w:asciiTheme="minorHAnsi" w:hAnsiTheme="minorHAnsi" w:cstheme="minorHAnsi"/>
          <w:highlight w:val="yellow"/>
          <w:lang w:val="en-US" w:eastAsia="en-US"/>
        </w:rPr>
        <w:t xml:space="preserve"> estimated using SNPs differed between </w:t>
      </w:r>
      <w:commentRangeStart w:id="24"/>
      <w:r w:rsidRPr="003574B3">
        <w:rPr>
          <w:rFonts w:asciiTheme="minorHAnsi" w:hAnsiTheme="minorHAnsi" w:cstheme="minorHAnsi"/>
          <w:highlight w:val="yellow"/>
          <w:lang w:val="en-US" w:eastAsia="en-US"/>
        </w:rPr>
        <w:t>methods</w:t>
      </w:r>
      <w:commentRangeEnd w:id="24"/>
      <w:r w:rsidR="008A545D" w:rsidRPr="003574B3">
        <w:rPr>
          <w:rStyle w:val="CommentReference"/>
          <w:rFonts w:ascii="Calibri" w:eastAsia="Linux Libertine G" w:hAnsi="Calibri" w:cs="Mangal"/>
          <w:highlight w:val="yellow"/>
          <w:lang w:eastAsia="zh-CN" w:bidi="hi-IN"/>
        </w:rPr>
        <w:commentReference w:id="24"/>
      </w:r>
      <w:r w:rsidRPr="003574B3">
        <w:rPr>
          <w:rFonts w:asciiTheme="minorHAnsi" w:hAnsiTheme="minorHAnsi" w:cstheme="minorHAnsi"/>
          <w:highlight w:val="yellow"/>
          <w:lang w:val="en-US" w:eastAsia="en-US"/>
        </w:rPr>
        <w:t xml:space="preserve">, although differences were not significant having overlapping </w:t>
      </w:r>
      <w:r w:rsidR="008729FC" w:rsidRPr="003574B3">
        <w:rPr>
          <w:rFonts w:asciiTheme="minorHAnsi" w:hAnsiTheme="minorHAnsi" w:cstheme="minorHAnsi"/>
          <w:highlight w:val="yellow"/>
          <w:lang w:val="en-US" w:eastAsia="en-US"/>
        </w:rPr>
        <w:t>CIs.</w:t>
      </w:r>
      <w:r w:rsidR="00852534">
        <w:rPr>
          <w:rFonts w:asciiTheme="minorHAnsi" w:hAnsiTheme="minorHAnsi" w:cstheme="minorHAnsi"/>
          <w:lang w:val="en-US" w:eastAsia="en-US"/>
        </w:rPr>
        <w:t xml:space="preserve"> </w:t>
      </w:r>
      <w:bookmarkEnd w:id="23"/>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w:t>
      </w:r>
      <w:proofErr w:type="spellStart"/>
      <w:r w:rsidRPr="004D1991">
        <w:rPr>
          <w:rFonts w:asciiTheme="minorHAnsi" w:hAnsiTheme="minorHAnsi" w:cstheme="minorHAnsi"/>
          <w:lang w:val="en-US" w:eastAsia="en-US"/>
        </w:rPr>
        <w:t>Waples</w:t>
      </w:r>
      <w:proofErr w:type="spellEnd"/>
      <w:r w:rsidRPr="004D1991">
        <w:rPr>
          <w:rFonts w:asciiTheme="minorHAnsi" w:hAnsiTheme="minorHAnsi" w:cstheme="minorHAnsi"/>
          <w:lang w:val="en-US" w:eastAsia="en-US"/>
        </w:rPr>
        <w:t xml:space="preserve"> et al., 2014, 2018). </w:t>
      </w:r>
    </w:p>
    <w:p w14:paraId="3D710D7C" w14:textId="6BDDD121" w:rsidR="00CA2168" w:rsidRDefault="004D1991" w:rsidP="008729FC">
      <w:pPr>
        <w:spacing w:line="480" w:lineRule="auto"/>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r w:rsidR="007113F2">
        <w:rPr>
          <w:rFonts w:asciiTheme="minorHAnsi" w:hAnsiTheme="minorHAnsi" w:cstheme="minorHAnsi"/>
          <w:lang w:val="en-US" w:eastAsia="en-US"/>
        </w:rPr>
        <w:t xml:space="preserve">nd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w:t>
      </w:r>
      <w:proofErr w:type="spellStart"/>
      <w:r w:rsidRPr="004D1991">
        <w:rPr>
          <w:rFonts w:asciiTheme="minorHAnsi" w:hAnsiTheme="minorHAnsi" w:cstheme="minorHAnsi"/>
          <w:lang w:val="en-US" w:eastAsia="en-US"/>
        </w:rPr>
        <w:t>Nunney</w:t>
      </w:r>
      <w:proofErr w:type="spellEnd"/>
      <w:r w:rsidRPr="004D1991">
        <w:rPr>
          <w:rFonts w:asciiTheme="minorHAnsi" w:hAnsiTheme="minorHAnsi" w:cstheme="minorHAnsi"/>
          <w:lang w:val="en-US" w:eastAsia="en-US"/>
        </w:rPr>
        <w:t xml:space="preserve">,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 xml:space="preserve">C. </w:t>
      </w:r>
      <w:proofErr w:type="spellStart"/>
      <w:r w:rsidRPr="007113F2">
        <w:rPr>
          <w:rFonts w:asciiTheme="minorHAnsi" w:hAnsiTheme="minorHAnsi" w:cstheme="minorHAnsi"/>
          <w:i/>
          <w:iCs/>
          <w:lang w:val="en-US" w:eastAsia="en-US"/>
        </w:rPr>
        <w:t>plumbeus</w:t>
      </w:r>
      <w:proofErr w:type="spellEnd"/>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applies to a single reproductive cycle; when ratios are close to 1, we can infer that the majority of the adult population contribute to the next generation and that the offspring number per adult approaches the standard scenario of binomial distribution (Hedgecock, 1994). In contrast, when ratios are &lt; 1, we can infer there is some deviation from the </w:t>
      </w:r>
      <w:r w:rsidRPr="007113F2">
        <w:rPr>
          <w:rFonts w:asciiTheme="minorHAnsi" w:hAnsiTheme="minorHAnsi" w:cstheme="minorHAnsi"/>
          <w:color w:val="000000" w:themeColor="text1"/>
          <w:lang w:val="en-US" w:eastAsia="en-US"/>
        </w:rPr>
        <w:lastRenderedPageBreak/>
        <w:t>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including fluctuations in population size and several important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&amp; </w:t>
      </w:r>
      <w:proofErr w:type="spellStart"/>
      <w:r w:rsidRPr="007113F2">
        <w:rPr>
          <w:rFonts w:asciiTheme="minorHAnsi" w:hAnsiTheme="minorHAnsi" w:cstheme="minorHAnsi"/>
          <w:color w:val="000000" w:themeColor="text1"/>
          <w:lang w:val="en-US" w:eastAsia="en-US"/>
        </w:rPr>
        <w:t>Anato</w:t>
      </w:r>
      <w:proofErr w:type="spellEnd"/>
      <w:r w:rsidRPr="007113F2">
        <w:rPr>
          <w:rFonts w:asciiTheme="minorHAnsi" w:hAnsiTheme="minorHAnsi" w:cstheme="minorHAnsi"/>
          <w:color w:val="000000" w:themeColor="text1"/>
          <w:lang w:val="en-US" w:eastAsia="en-US"/>
        </w:rPr>
        <w:t xml:space="preserve">,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w:t>
      </w:r>
      <w:proofErr w:type="spellStart"/>
      <w:r w:rsidRPr="007113F2">
        <w:rPr>
          <w:rFonts w:asciiTheme="minorHAnsi" w:hAnsiTheme="minorHAnsi" w:cstheme="minorHAnsi"/>
          <w:color w:val="000000" w:themeColor="text1"/>
          <w:lang w:val="en-US" w:eastAsia="en-US"/>
        </w:rPr>
        <w:t>Mollet</w:t>
      </w:r>
      <w:proofErr w:type="spellEnd"/>
      <w:r w:rsidRPr="007113F2">
        <w:rPr>
          <w:rFonts w:asciiTheme="minorHAnsi" w:hAnsiTheme="minorHAnsi" w:cstheme="minorHAnsi"/>
          <w:color w:val="000000" w:themeColor="text1"/>
          <w:lang w:val="en-US" w:eastAsia="en-US"/>
        </w:rPr>
        <w:t xml:space="preserve">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apply (2010-2013). </w:t>
      </w:r>
    </w:p>
    <w:p w14:paraId="1FADA90D" w14:textId="765403DD" w:rsidR="004D1991" w:rsidRDefault="004D1991" w:rsidP="008729FC">
      <w:pPr>
        <w:spacing w:line="480" w:lineRule="auto"/>
        <w:ind w:firstLine="720"/>
        <w:jc w:val="both"/>
        <w:rPr>
          <w:rFonts w:asciiTheme="minorHAnsi" w:hAnsiTheme="minorHAnsi" w:cstheme="minorHAnsi"/>
          <w:color w:val="000000" w:themeColor="text1"/>
          <w:lang w:val="en-US" w:eastAsia="en-US"/>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is small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to be quantified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2013). Blower et al., (2012) provided the first genetic </w:t>
      </w:r>
      <w:r w:rsidRPr="007113F2">
        <w:rPr>
          <w:rFonts w:asciiTheme="minorHAnsi" w:hAnsiTheme="minorHAnsi" w:cstheme="minorHAnsi"/>
          <w:color w:val="000000" w:themeColor="text1"/>
          <w:lang w:val="en-US" w:eastAsia="en-US"/>
        </w:rPr>
        <w:lastRenderedPageBreak/>
        <w:t xml:space="preserve">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w:t>
      </w:r>
      <w:proofErr w:type="spellStart"/>
      <w:r w:rsidRPr="007113F2">
        <w:rPr>
          <w:rFonts w:asciiTheme="minorHAnsi" w:hAnsiTheme="minorHAnsi" w:cstheme="minorHAnsi"/>
          <w:color w:val="000000" w:themeColor="text1"/>
          <w:lang w:val="en-US" w:eastAsia="en-US"/>
        </w:rPr>
        <w:t>Pcrit</w:t>
      </w:r>
      <w:proofErr w:type="spellEnd"/>
      <w:r w:rsidRPr="007113F2">
        <w:rPr>
          <w:rFonts w:asciiTheme="minorHAnsi" w:hAnsiTheme="minorHAnsi" w:cstheme="minorHAnsi"/>
          <w:color w:val="000000" w:themeColor="text1"/>
          <w:lang w:val="en-US" w:eastAsia="en-US"/>
        </w:rPr>
        <w:t xml:space="preserve">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2015). Given this, together with the lack of evidence from other studies to date of an expected </w:t>
      </w:r>
      <w:r w:rsidRPr="007113F2">
        <w:rPr>
          <w:rFonts w:asciiTheme="minorHAnsi" w:hAnsiTheme="minorHAnsi" w:cstheme="minorHAnsi"/>
          <w:color w:val="000000" w:themeColor="text1"/>
          <w:lang w:val="en-US" w:eastAsia="en-US"/>
        </w:rPr>
        <w:lastRenderedPageBreak/>
        <w:t>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species are only recently increasing year-on-year (Department of Primary Industries, 2019) following long term declines over 80 years of the bather-protection program along the east coast of Australia, which has been lethal for sharks despite catch-and-release programs (</w:t>
      </w:r>
      <w:proofErr w:type="spellStart"/>
      <w:r w:rsidRPr="007113F2">
        <w:rPr>
          <w:rFonts w:asciiTheme="minorHAnsi" w:hAnsiTheme="minorHAnsi" w:cstheme="minorHAnsi"/>
          <w:color w:val="000000" w:themeColor="text1"/>
          <w:lang w:val="en-US" w:eastAsia="en-US"/>
        </w:rPr>
        <w:t>Roff</w:t>
      </w:r>
      <w:proofErr w:type="spellEnd"/>
      <w:r w:rsidRPr="007113F2">
        <w:rPr>
          <w:rFonts w:asciiTheme="minorHAnsi" w:hAnsiTheme="minorHAnsi" w:cstheme="minorHAnsi"/>
          <w:color w:val="000000" w:themeColor="text1"/>
          <w:lang w:val="en-US" w:eastAsia="en-US"/>
        </w:rPr>
        <w:t xml:space="preserve"> et al., 2018). The recent modeling of the recovery of the North West Atlantic white shark population provides a useful principal in this regard; “every fish counts” (Bowlby &amp; Gibson, 2020, p.9).</w:t>
      </w:r>
    </w:p>
    <w:p w14:paraId="2A5D6533" w14:textId="77777777" w:rsidR="00FD3D1C" w:rsidRPr="007113F2" w:rsidRDefault="00FD3D1C" w:rsidP="008729FC">
      <w:pPr>
        <w:spacing w:line="480" w:lineRule="auto"/>
        <w:ind w:firstLine="720"/>
        <w:jc w:val="both"/>
        <w:rPr>
          <w:rFonts w:asciiTheme="minorHAnsi" w:eastAsiaTheme="minorEastAsia" w:hAnsiTheme="minorHAnsi" w:cstheme="minorHAnsi"/>
          <w:color w:val="000000" w:themeColor="text1"/>
        </w:rPr>
      </w:pPr>
    </w:p>
    <w:p w14:paraId="5816935C" w14:textId="28E31144" w:rsidR="00765BF7" w:rsidRDefault="00765BF7" w:rsidP="008729FC">
      <w:pPr>
        <w:pStyle w:val="Standard"/>
        <w:spacing w:after="280" w:line="480" w:lineRule="auto"/>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361309B7" w14:textId="64089F76" w:rsidR="00765BF7" w:rsidRDefault="008729FC" w:rsidP="008729FC">
      <w:pPr>
        <w:spacing w:line="480" w:lineRule="auto"/>
        <w:jc w:val="both"/>
        <w:rPr>
          <w:rFonts w:asciiTheme="minorHAnsi" w:hAnsiTheme="minorHAnsi" w:cstheme="minorHAnsi"/>
          <w:lang w:val="en-US" w:eastAsia="en-US"/>
        </w:rPr>
      </w:pPr>
      <w:r w:rsidRPr="008729FC">
        <w:rPr>
          <w:rFonts w:asciiTheme="minorHAnsi" w:hAnsiTheme="minorHAnsi" w:cstheme="minorHAnsi"/>
          <w:lang w:val="en-US" w:eastAsia="en-US"/>
        </w:rPr>
        <w:t>We have used genetic data to estimate the size of the effective breeding population (</w:t>
      </w:r>
      <m:oMath>
        <m:r>
          <w:rPr>
            <w:rFonts w:ascii="Cambria Math" w:hAnsi="Cambria Math"/>
          </w:rPr>
          <m:t>Nb</m:t>
        </m:r>
      </m:oMath>
      <w:r w:rsidRPr="008729FC">
        <w:rPr>
          <w:rFonts w:asciiTheme="minorHAnsi" w:hAnsiTheme="minorHAnsi" w:cstheme="minorHAnsi"/>
          <w:lang w:val="en-US" w:eastAsia="en-US"/>
        </w:rPr>
        <w:t xml:space="preserve">) over four consecutive years (2010 to 2013) for white sharks in an east Australian–New Zealand population, representing an indirect measure of reproductive effort over a relatively short </w:t>
      </w:r>
      <w:r w:rsidRPr="008729FC">
        <w:rPr>
          <w:rFonts w:asciiTheme="minorHAnsi" w:hAnsiTheme="minorHAnsi" w:cstheme="minorHAnsi"/>
          <w:lang w:val="en-US" w:eastAsia="en-US"/>
        </w:rPr>
        <w:lastRenderedPageBreak/>
        <w:t xml:space="preserve">temporal period. Our results suggest </w:t>
      </w:r>
      <m:oMath>
        <m:r>
          <w:rPr>
            <w:rFonts w:ascii="Cambria Math" w:hAnsi="Cambria Math"/>
          </w:rPr>
          <m:t>Nb</m:t>
        </m:r>
      </m:oMath>
      <w:r w:rsidRPr="008729FC">
        <w:rPr>
          <w:rFonts w:asciiTheme="minorHAnsi" w:hAnsiTheme="minorHAnsi" w:cstheme="minorHAnsi"/>
          <w:lang w:val="en-US" w:eastAsia="en-US"/>
        </w:rPr>
        <w:t xml:space="preserve"> has remained stable over four years and agrees with previous studies that report stability of population size in the EAP, where </w:t>
      </w:r>
      <m:oMath>
        <m:r>
          <w:rPr>
            <w:rFonts w:ascii="Cambria Math" w:hAnsi="Cambria Math"/>
          </w:rPr>
          <m:t>Nb</m:t>
        </m:r>
      </m:oMath>
      <w:r w:rsidRPr="008729FC">
        <w:rPr>
          <w:rFonts w:asciiTheme="minorHAnsi" w:hAnsiTheme="minorHAnsi" w:cstheme="minorHAnsi"/>
          <w:lang w:val="en-US" w:eastAsia="en-US"/>
        </w:rPr>
        <w:t xml:space="preserve"> estimates were more precise using data from SNP rather than microsatellite loci and estimates from two single-sample genetic estimators were similar. However, longer time series of data are needed to determine the efficacy of past and present management and conservation actions on the genetic constitution of the population. We suggest future monitoring using </w:t>
      </w:r>
      <m:oMath>
        <m:r>
          <w:rPr>
            <w:rFonts w:ascii="Cambria Math" w:hAnsi="Cambria Math"/>
          </w:rPr>
          <m:t>Nb</m:t>
        </m:r>
      </m:oMath>
      <w:r w:rsidRPr="008729FC">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m:oMath>
        <m:r>
          <w:rPr>
            <w:rFonts w:ascii="Cambria Math" w:hAnsi="Cambria Math"/>
          </w:rPr>
          <m:t>Nb</m:t>
        </m:r>
      </m:oMath>
      <w:r w:rsidRPr="008729FC">
        <w:rPr>
          <w:rFonts w:asciiTheme="minorHAnsi" w:hAnsiTheme="minorHAnsi" w:cstheme="minorHAnsi"/>
          <w:lang w:val="en-US" w:eastAsia="en-US"/>
        </w:rPr>
        <w:t xml:space="preserve"> and </w:t>
      </w:r>
      <m:oMath>
        <m:r>
          <w:rPr>
            <w:rFonts w:ascii="Cambria Math" w:hAnsi="Cambria Math"/>
          </w:rPr>
          <m:t>Na</m:t>
        </m:r>
      </m:oMath>
      <w:r w:rsidRPr="008729FC">
        <w:rPr>
          <w:rFonts w:asciiTheme="minorHAnsi" w:hAnsiTheme="minorHAnsi" w:cstheme="minorHAnsi"/>
          <w:lang w:val="en-US" w:eastAsia="en-US"/>
        </w:rPr>
        <w:t xml:space="preserve"> estimates.</w:t>
      </w:r>
    </w:p>
    <w:p w14:paraId="739CB3C3" w14:textId="77777777" w:rsidR="008729FC" w:rsidRPr="00765BF7" w:rsidRDefault="008729FC" w:rsidP="008729FC">
      <w:pPr>
        <w:spacing w:line="480" w:lineRule="auto"/>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41D1B509" w:rsidR="001235D3" w:rsidRPr="00DB19EF" w:rsidRDefault="001235D3" w:rsidP="00E41CCF">
      <w:pPr>
        <w:pStyle w:val="Standard"/>
        <w:jc w:val="both"/>
      </w:pPr>
      <w:r w:rsidRPr="00DB19EF">
        <w:t xml:space="preserve">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w:t>
      </w:r>
      <w:proofErr w:type="spellStart"/>
      <w:r w:rsidRPr="00DB19EF">
        <w:t>Dr.</w:t>
      </w:r>
      <w:proofErr w:type="spellEnd"/>
      <w:r w:rsidRPr="00DB19EF">
        <w:t xml:space="preserve"> Charlie </w:t>
      </w:r>
      <w:proofErr w:type="spellStart"/>
      <w:r w:rsidRPr="00DB19EF">
        <w:t>Huveeners</w:t>
      </w:r>
      <w:proofErr w:type="spellEnd"/>
      <w:r w:rsidRPr="00DB19EF">
        <w:t xml:space="preserve">, Flinders University, South Australia for the provision of samples from south-west Australia, Jamie Wyatt for assistance with DNA-laboratory work, and Andrzej </w:t>
      </w:r>
      <w:proofErr w:type="spellStart"/>
      <w:r w:rsidRPr="00DB19EF">
        <w:t>Killan</w:t>
      </w:r>
      <w:proofErr w:type="spellEnd"/>
      <w:r w:rsidRPr="00DB19EF">
        <w:t xml:space="preserve">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25" w:name="_26in1rg"/>
      <w:bookmarkEnd w:id="25"/>
      <w:r w:rsidR="0039570B">
        <w:t xml:space="preserve"> </w:t>
      </w:r>
      <w:bookmarkStart w:id="26" w:name="_Hlk167288775"/>
      <w:r w:rsidR="0039570B" w:rsidRPr="0039570B">
        <w:rPr>
          <w:highlight w:val="magenta"/>
        </w:rPr>
        <w:t>We acknowledge Dean Blower and Paul Butcher who identified an error in the original published version of this MS.</w:t>
      </w:r>
      <w:r w:rsidR="0039570B">
        <w:t xml:space="preserve"> </w:t>
      </w:r>
    </w:p>
    <w:bookmarkEnd w:id="26"/>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27"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7A9E11F1" w14:textId="3BD1CA08" w:rsidR="008729FC" w:rsidRPr="008729FC" w:rsidRDefault="008729FC" w:rsidP="008729FC">
      <w:pPr>
        <w:pStyle w:val="Bibliography"/>
        <w:spacing w:line="240" w:lineRule="auto"/>
        <w:rPr>
          <w:rFonts w:ascii="Calibri" w:hAnsi="Calibri"/>
        </w:rPr>
      </w:pPr>
      <w:r w:rsidRPr="008729FC">
        <w:rPr>
          <w:rFonts w:ascii="Calibri" w:hAnsi="Calibri"/>
        </w:rPr>
        <w:t>Mijangos, J. L., Gruber, B., Berry, O., Pacioni, C., &amp; Georges, A.</w:t>
      </w:r>
      <w:r>
        <w:rPr>
          <w:rFonts w:ascii="Calibri" w:hAnsi="Calibri"/>
        </w:rPr>
        <w:t xml:space="preserve"> </w:t>
      </w:r>
      <w:r w:rsidRPr="008729FC">
        <w:rPr>
          <w:rFonts w:ascii="Calibri" w:hAnsi="Calibri"/>
        </w:rPr>
        <w:t>(2022). dartR v2: An accessible genetic analysis platform for</w:t>
      </w:r>
      <w:r>
        <w:rPr>
          <w:rFonts w:ascii="Calibri" w:hAnsi="Calibri"/>
        </w:rPr>
        <w:t xml:space="preserve"> c</w:t>
      </w:r>
      <w:r w:rsidRPr="008729FC">
        <w:rPr>
          <w:rFonts w:ascii="Calibri" w:hAnsi="Calibri"/>
        </w:rPr>
        <w:t>onservation, ecology and</w:t>
      </w:r>
      <w:r>
        <w:rPr>
          <w:rFonts w:ascii="Calibri" w:hAnsi="Calibri"/>
        </w:rPr>
        <w:t xml:space="preserve"> </w:t>
      </w:r>
      <w:r w:rsidRPr="008729FC">
        <w:rPr>
          <w:rFonts w:ascii="Calibri" w:hAnsi="Calibri"/>
        </w:rPr>
        <w:t>agriculture. Methods in Ecology and</w:t>
      </w:r>
      <w:r>
        <w:rPr>
          <w:rFonts w:ascii="Calibri" w:hAnsi="Calibri"/>
        </w:rPr>
        <w:t xml:space="preserve"> </w:t>
      </w:r>
      <w:r w:rsidRPr="008729FC">
        <w:rPr>
          <w:rFonts w:ascii="Calibri" w:hAnsi="Calibri"/>
        </w:rPr>
        <w:t xml:space="preserve">Evolution. </w:t>
      </w:r>
      <w:r>
        <w:rPr>
          <w:rFonts w:ascii="Calibri" w:hAnsi="Calibri"/>
        </w:rPr>
        <w:t>doi:</w:t>
      </w:r>
      <w:r w:rsidRPr="008729FC">
        <w:rPr>
          <w:rFonts w:ascii="Calibri" w:hAnsi="Calibri"/>
        </w:rPr>
        <w:t>10.1111/2041-210X.1391</w:t>
      </w:r>
    </w:p>
    <w:p w14:paraId="5BDCAB9D" w14:textId="67B3FB6F"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Portnoy, D. S., McDowell, J. R., McCandless, C. T., Musick, J. A., &amp; Graves, J. E. (2009). Effective size closely approximates the census size in the heavily exploited western Atlantic </w:t>
      </w:r>
      <w:r w:rsidRPr="002D603D">
        <w:rPr>
          <w:rFonts w:ascii="Calibri" w:hAnsi="Calibri"/>
        </w:rPr>
        <w:lastRenderedPageBreak/>
        <w:t>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28" w:name="_lnxbz9"/>
      <w:bookmarkEnd w:id="28"/>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3E016534"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proofErr w:type="spellStart"/>
      <w:r w:rsidRPr="00DB19EF">
        <w:rPr>
          <w:i/>
        </w:rPr>
        <w:t>C.carcharias</w:t>
      </w:r>
      <w:proofErr w:type="spellEnd"/>
      <w:r w:rsidRPr="00DB19EF">
        <w:t>. Lower and upper confidence intervals in braces (lower CI-upper CI)</w:t>
      </w:r>
      <w:r w:rsidR="00372A43">
        <w:t xml:space="preserve"> and the</w:t>
      </w:r>
      <w:r w:rsidRPr="00DB19EF">
        <w:t xml:space="preserve"> number of samples used to make the estimate </w:t>
      </w:r>
      <w:r w:rsidR="00372A43">
        <w:t xml:space="preserve">(n) is </w:t>
      </w:r>
      <w:r w:rsidRPr="00DB19EF">
        <w:t xml:space="preserve">reported. The standard deviation (±SD)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2227"/>
        <w:gridCol w:w="1584"/>
        <w:gridCol w:w="1584"/>
        <w:gridCol w:w="1584"/>
        <w:gridCol w:w="1585"/>
      </w:tblGrid>
      <w:tr w:rsidR="001235D3" w:rsidRPr="00DB19EF" w14:paraId="2EDE60F9" w14:textId="77777777" w:rsidTr="008729FC">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bookmarkStart w:id="29" w:name="_Hlk167290456"/>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8729FC">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8729FC">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47E8F3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w:t>
            </w:r>
          </w:p>
          <w:p w14:paraId="2B13DEB5" w14:textId="69EF34C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08D0455"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263.9</w:t>
            </w:r>
          </w:p>
          <w:p w14:paraId="051EB2EA" w14:textId="42C81B1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63A4C92"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128.7</w:t>
            </w:r>
          </w:p>
          <w:p w14:paraId="0FB6557B" w14:textId="73F0048D"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75B034C"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122.6</w:t>
            </w:r>
          </w:p>
          <w:p w14:paraId="722FCF60" w14:textId="7347BBF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(49.3, 12934.9)</w:t>
            </w:r>
          </w:p>
        </w:tc>
      </w:tr>
      <w:tr w:rsidR="001235D3" w:rsidRPr="00DB19EF" w14:paraId="14C582E9" w14:textId="77777777" w:rsidTr="008729FC">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BB93C13"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33</w:t>
            </w:r>
          </w:p>
          <w:p w14:paraId="5F45754A" w14:textId="1030BFBE"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63E90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w:t>
            </w:r>
          </w:p>
          <w:p w14:paraId="61840AF2" w14:textId="266E8F4A"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7F84FA"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w:t>
            </w:r>
          </w:p>
          <w:p w14:paraId="49C7507D" w14:textId="6B6E645C"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29CA9DF"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62</w:t>
            </w:r>
          </w:p>
          <w:p w14:paraId="6BD63BEA" w14:textId="3297946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(41,96)[17,137]</w:t>
            </w:r>
          </w:p>
        </w:tc>
      </w:tr>
      <w:tr w:rsidR="001235D3" w:rsidRPr="00DB19EF" w14:paraId="583F1BF5" w14:textId="77777777" w:rsidTr="008729FC">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5FD0C15F"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5681FCDA"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23B274F8"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38C8CD71"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63</w:t>
            </w:r>
          </w:p>
        </w:tc>
      </w:tr>
      <w:tr w:rsidR="008A1B52" w:rsidRPr="00DB19EF" w14:paraId="165A7E8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474E161" w14:textId="47C0B055"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62.1(32.7, 249.5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18A436B" w14:textId="4639933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color w:val="000000" w:themeColor="text1"/>
                <w:highlight w:val="yellow"/>
              </w:rPr>
              <w:t>208.1 (110.1, 1135.9)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F80831C" w14:textId="29D21CE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201.9 (126.7, 449.0)</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C80055C" w14:textId="7CAC3F14"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 xml:space="preserve">179.8 (121.9, 320.8) </w:t>
            </w:r>
          </w:p>
        </w:tc>
      </w:tr>
      <w:tr w:rsidR="008A1B52" w:rsidRPr="00DB19EF" w14:paraId="43842AEF"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6FCEF0E" w14:textId="77777777"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96(56,198)</w:t>
            </w:r>
          </w:p>
          <w:p w14:paraId="42E76FF3" w14:textId="606BD19D"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[7,3]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08A7F4" w14:textId="235552AC"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247(148,567)[4,5]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0864DD" w14:textId="1B5153C6"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196(132,332)[8,15]</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ECDAD74" w14:textId="1A078AC1"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174(123,252)[16,22]</w:t>
            </w:r>
          </w:p>
        </w:tc>
      </w:tr>
      <w:tr w:rsidR="00192470" w:rsidRPr="00DB19EF" w14:paraId="2FEE1E9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21A96659" w:rsidR="00192470" w:rsidRPr="008729FC" w:rsidRDefault="00192470" w:rsidP="00192470">
            <w:pPr>
              <w:pStyle w:val="Standard"/>
              <w:jc w:val="center"/>
              <w:rPr>
                <w:b/>
                <w:bCs/>
              </w:rPr>
            </w:pPr>
            <m:oMathPara>
              <m:oMath>
                <m:sSub>
                  <m:sSubPr>
                    <m:ctrlPr>
                      <w:rPr>
                        <w:rFonts w:ascii="Cambria Math" w:hAnsi="Cambria Math"/>
                      </w:rPr>
                    </m:ctrlPr>
                  </m:sSubPr>
                  <m:e>
                    <m:r>
                      <w:rPr>
                        <w:rFonts w:ascii="Cambria Math" w:hAnsi="Cambria Math"/>
                      </w:rPr>
                      <m:t>Nb</m:t>
                    </m:r>
                  </m:e>
                  <m:sub>
                    <m:r>
                      <w:rPr>
                        <w:rFonts w:ascii="Cambria Math" w:hAnsi="Cambria Math"/>
                      </w:rPr>
                      <m:t xml:space="preserve">LD </m:t>
                    </m:r>
                  </m:sub>
                </m:sSub>
                <m:sSub>
                  <m:sSubPr>
                    <m:ctrlPr>
                      <w:rPr>
                        <w:rFonts w:ascii="Cambria Math" w:hAnsi="Cambria Math"/>
                      </w:rPr>
                    </m:ctrlPr>
                  </m:sSubPr>
                  <m:e>
                    <m:r>
                      <w:rPr>
                        <w:rFonts w:ascii="Cambria Math" w:hAnsi="Cambria Math"/>
                      </w:rPr>
                      <m:t>+ Nb</m:t>
                    </m:r>
                  </m:e>
                  <m:sub>
                    <m:r>
                      <w:rPr>
                        <w:rFonts w:ascii="Cambria Math" w:hAnsi="Cambria Math"/>
                      </w:rPr>
                      <m:t>SA  (±SA)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0845AF3C"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74.57</w:t>
            </w:r>
            <w:r w:rsidRPr="00192470">
              <w:rPr>
                <w:rFonts w:cs="Calibri"/>
                <w:color w:val="000000"/>
                <w:highlight w:val="yellow"/>
              </w:rPr>
              <w:t>(</w:t>
            </w:r>
            <w:r w:rsidRPr="00192470">
              <w:rPr>
                <w:rFonts w:cs="Calibri"/>
                <w:color w:val="000000"/>
                <w:sz w:val="22"/>
                <w:szCs w:val="22"/>
                <w:highlight w:val="yellow"/>
              </w:rPr>
              <w:t>20.57</w:t>
            </w:r>
            <w:r w:rsidRPr="00192470">
              <w:rPr>
                <w:rFonts w:cs="Calibri"/>
                <w:color w:val="000000"/>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746035A9"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228.66</w:t>
            </w:r>
            <w:r w:rsidRPr="00192470">
              <w:rPr>
                <w:rFonts w:cs="Calibri"/>
                <w:color w:val="000000"/>
                <w:highlight w:val="yellow"/>
              </w:rPr>
              <w:t>(57.75</w:t>
            </w:r>
            <w:r w:rsidRPr="00192470">
              <w:rPr>
                <w:rFonts w:asciiTheme="minorHAnsi" w:eastAsia="Times New Roman" w:hAnsiTheme="minorHAnsi" w:cstheme="minorHAnsi"/>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29F77C52"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197.21</w:t>
            </w:r>
            <w:r w:rsidRPr="00192470">
              <w:rPr>
                <w:rFonts w:cs="Calibri"/>
                <w:color w:val="000000"/>
                <w:highlight w:val="yellow"/>
              </w:rPr>
              <w:t xml:space="preserve"> (39.08)</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16692D3C"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174.85</w:t>
            </w:r>
            <w:r w:rsidRPr="00192470">
              <w:rPr>
                <w:rFonts w:cs="Calibri"/>
                <w:color w:val="000000"/>
                <w:highlight w:val="yellow"/>
              </w:rPr>
              <w:t xml:space="preserve"> (29.32)</w:t>
            </w:r>
          </w:p>
        </w:tc>
      </w:tr>
      <w:tr w:rsidR="00192470" w:rsidRPr="00DB19EF" w14:paraId="18421731"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192470" w:rsidRPr="00720D84" w:rsidRDefault="00192470" w:rsidP="00192470">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Pr="00720D84">
              <w:rPr>
                <w:rFonts w:eastAsia="Times New Roman" w:cs="Times New Roman"/>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B392C02" w14:textId="5BF9094C"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7BE692C8"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0.30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5799EB41" w:rsidR="00192470" w:rsidRPr="00192470" w:rsidRDefault="00192470" w:rsidP="00192470">
            <w:pPr>
              <w:pStyle w:val="Standard"/>
              <w:jc w:val="center"/>
              <w:rPr>
                <w:rFonts w:asciiTheme="minorHAnsi" w:hAnsiTheme="minorHAnsi" w:cstheme="minorHAnsi"/>
                <w:highlight w:val="yellow"/>
              </w:rPr>
            </w:pPr>
            <w:r w:rsidRPr="00192470">
              <w:rPr>
                <w:rFonts w:eastAsia="Times New Roman" w:cstheme="minorHAnsi"/>
                <w:color w:val="000000"/>
                <w:highlight w:val="yellow"/>
              </w:rPr>
              <w:t>0.26</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44A0F84" w14:textId="46E30C55"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0.23</w:t>
            </w:r>
          </w:p>
        </w:tc>
      </w:tr>
    </w:tbl>
    <w:bookmarkEnd w:id="29"/>
    <w:p w14:paraId="3A807D48" w14:textId="77777777" w:rsidR="001235D3" w:rsidRPr="00DB19EF" w:rsidRDefault="001235D3" w:rsidP="001235D3">
      <w:pPr>
        <w:pStyle w:val="Standard"/>
      </w:pPr>
      <w:r w:rsidRPr="00DB19EF">
        <w:rPr>
          <w:vertAlign w:val="superscript"/>
        </w:rPr>
        <w:t xml:space="preserve">† </w:t>
      </w:r>
      <w:r w:rsidRPr="00DB19EF">
        <w:t xml:space="preserve">The ratio </w:t>
      </w:r>
      <w:r w:rsidRPr="00DB19EF">
        <w:rPr>
          <w:i/>
        </w:rPr>
        <w:t>Nb/Ne</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8729FC">
        <w:rPr>
          <w:rFonts w:ascii="Calibri" w:hAnsi="Calibri"/>
          <w:color w:val="000000" w:themeColor="text1"/>
        </w:rPr>
        <w:t xml:space="preserve">from </w:t>
      </w:r>
      <w:r w:rsidR="00BC6693" w:rsidRPr="008729FC">
        <w:rPr>
          <w:rFonts w:ascii="Calibri" w:hAnsi="Calibri"/>
          <w:color w:val="000000" w:themeColor="text1"/>
        </w:rPr>
        <w:t>a fictious sample</w:t>
      </w:r>
      <w:r w:rsidRPr="008729FC">
        <w:rPr>
          <w:rFonts w:ascii="Calibri" w:hAnsi="Calibri"/>
          <w:color w:val="000000" w:themeColor="text1"/>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proofErr w:type="spellStart"/>
      <w:r w:rsidRPr="005B66DA">
        <w:rPr>
          <w:rFonts w:ascii="Calibri" w:hAnsi="Calibri"/>
          <w:b/>
          <w:color w:val="000000" w:themeColor="text1"/>
        </w:rPr>
        <w:t>LDNe</w:t>
      </w:r>
      <w:proofErr w:type="spellEnd"/>
      <w:r w:rsidRPr="005B66DA">
        <w:rPr>
          <w:rFonts w:ascii="Calibri" w:hAnsi="Calibri"/>
          <w:b/>
          <w:color w:val="000000" w:themeColor="text1"/>
        </w:rPr>
        <w:t>: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30" w:name="_Toc25250067"/>
      <w:r>
        <w:rPr>
          <w:b/>
          <w:color w:val="000000" w:themeColor="text1"/>
          <w:sz w:val="24"/>
          <w:szCs w:val="24"/>
        </w:rPr>
        <w:t>The V</w:t>
      </w:r>
      <w:r w:rsidR="006F713D" w:rsidRPr="005B66DA">
        <w:rPr>
          <w:b/>
          <w:color w:val="000000" w:themeColor="text1"/>
          <w:sz w:val="24"/>
          <w:szCs w:val="24"/>
        </w:rPr>
        <w:t>ariances</w:t>
      </w:r>
      <w:bookmarkEnd w:id="30"/>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w:t>
      </w:r>
      <w:proofErr w:type="spellStart"/>
      <w:r w:rsidRPr="005B66DA">
        <w:rPr>
          <w:rFonts w:ascii="Calibri" w:hAnsi="Calibri"/>
          <w:color w:val="000000" w:themeColor="text1"/>
        </w:rPr>
        <w:t>NeEstimator</w:t>
      </w:r>
      <w:proofErr w:type="spellEnd"/>
      <w:r w:rsidRPr="005B66DA">
        <w:rPr>
          <w:rFonts w:ascii="Calibri" w:hAnsi="Calibri"/>
          <w:color w:val="000000" w:themeColor="text1"/>
        </w:rPr>
        <w:t xml:space="preserve">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31" w:name="_Toc25250068"/>
      <w:r w:rsidRPr="005B66DA">
        <w:rPr>
          <w:b/>
          <w:color w:val="000000" w:themeColor="text1"/>
          <w:sz w:val="24"/>
          <w:szCs w:val="24"/>
        </w:rPr>
        <w:t>COLONY</w:t>
      </w:r>
      <w:bookmarkEnd w:id="31"/>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02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02CCE">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02CCE">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02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32" w:name="_Toc25250069"/>
      <w:r w:rsidRPr="005B66DA">
        <w:rPr>
          <w:b/>
          <w:color w:val="000000" w:themeColor="text1"/>
          <w:sz w:val="24"/>
          <w:szCs w:val="24"/>
        </w:rPr>
        <w:t>Ne Estimator</w:t>
      </w:r>
      <w:bookmarkEnd w:id="32"/>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interval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jackknife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02CCE">
        <w:trPr>
          <w:trHeight w:val="419"/>
          <w:jc w:val="center"/>
        </w:trPr>
        <w:tc>
          <w:tcPr>
            <w:tcW w:w="1802" w:type="dxa"/>
          </w:tcPr>
          <w:p w14:paraId="0438677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02CCE">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02CCE">
        <w:trPr>
          <w:jc w:val="center"/>
        </w:trPr>
        <w:tc>
          <w:tcPr>
            <w:tcW w:w="1802" w:type="dxa"/>
          </w:tcPr>
          <w:p w14:paraId="29C1D5AE"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02CCE">
        <w:trPr>
          <w:jc w:val="center"/>
        </w:trPr>
        <w:tc>
          <w:tcPr>
            <w:tcW w:w="1802" w:type="dxa"/>
          </w:tcPr>
          <w:p w14:paraId="1864B2A7"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02CCE">
        <w:trPr>
          <w:jc w:val="center"/>
        </w:trPr>
        <w:tc>
          <w:tcPr>
            <w:tcW w:w="5406" w:type="dxa"/>
            <w:gridSpan w:val="3"/>
          </w:tcPr>
          <w:p w14:paraId="331465D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02CCE">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02CCE">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02CCE">
        <w:trPr>
          <w:jc w:val="center"/>
        </w:trPr>
        <w:tc>
          <w:tcPr>
            <w:tcW w:w="1401" w:type="dxa"/>
            <w:tcBorders>
              <w:top w:val="single" w:sz="12" w:space="0" w:color="auto"/>
            </w:tcBorders>
          </w:tcPr>
          <w:p w14:paraId="625B2075"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02CCE">
        <w:trPr>
          <w:jc w:val="center"/>
        </w:trPr>
        <w:tc>
          <w:tcPr>
            <w:tcW w:w="1401" w:type="dxa"/>
            <w:tcBorders>
              <w:bottom w:val="single" w:sz="12" w:space="0" w:color="auto"/>
            </w:tcBorders>
          </w:tcPr>
          <w:p w14:paraId="7082C6F4" w14:textId="77777777" w:rsidR="006F713D" w:rsidRPr="005B66DA" w:rsidRDefault="006F713D" w:rsidP="00802CCE">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12"/>
      <w:pgSz w:w="12240" w:h="15840"/>
      <w:pgMar w:top="1701" w:right="1418" w:bottom="1701" w:left="1418"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Davenport, Danielle" w:date="2024-05-22T23:17:00Z" w:initials="DD">
    <w:p w14:paraId="3A0B2A45" w14:textId="77777777" w:rsidR="008729FC" w:rsidRDefault="008729FC" w:rsidP="0028625C">
      <w:pPr>
        <w:pStyle w:val="CommentText"/>
      </w:pPr>
      <w:r>
        <w:rPr>
          <w:rStyle w:val="CommentReference"/>
        </w:rPr>
        <w:annotationRef/>
      </w:r>
      <w:r>
        <w:t>"with the exception of the 2010 cohort" was deleted</w:t>
      </w:r>
    </w:p>
  </w:comment>
  <w:comment w:id="24" w:author="Davenport, Danielle" w:date="2024-05-23T19:12:00Z" w:initials="DD">
    <w:p w14:paraId="197F9222" w14:textId="776850C9" w:rsidR="003574B3" w:rsidRDefault="008A545D" w:rsidP="009D702F">
      <w:pPr>
        <w:pStyle w:val="CommentText"/>
      </w:pPr>
      <w:r>
        <w:rPr>
          <w:rStyle w:val="CommentReference"/>
        </w:rPr>
        <w:annotationRef/>
      </w:r>
      <w:r w:rsidR="003574B3">
        <w:t xml:space="preserve">deleted " such that </w:t>
      </w:r>
      <w:r w:rsidR="003574B3">
        <w:rPr>
          <w:noProof/>
        </w:rPr>
        <w:drawing>
          <wp:inline distT="0" distB="0" distL="0" distR="0" wp14:anchorId="77F02E9F" wp14:editId="3A9D4673">
            <wp:extent cx="514376" cy="177809"/>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514376" cy="177809"/>
                    </a:xfrm>
                    <a:prstGeom prst="rect">
                      <a:avLst/>
                    </a:prstGeom>
                  </pic:spPr>
                </pic:pic>
              </a:graphicData>
            </a:graphic>
          </wp:inline>
        </w:drawing>
      </w:r>
      <w:r w:rsidR="003574B3">
        <w:t xml:space="preserve"> was lower compared to</w:t>
      </w:r>
      <w:r w:rsidR="003574B3">
        <w:rPr>
          <w:i/>
          <w:iCs/>
        </w:rPr>
        <w:t xml:space="preserve"> </w:t>
      </w:r>
      <w:r w:rsidR="003574B3">
        <w:rPr>
          <w:noProof/>
        </w:rPr>
        <w:drawing>
          <wp:inline distT="0" distB="0" distL="0" distR="0" wp14:anchorId="219C52F9" wp14:editId="64618C7E">
            <wp:extent cx="501676" cy="177809"/>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01676" cy="177809"/>
                    </a:xfrm>
                    <a:prstGeom prst="rect">
                      <a:avLst/>
                    </a:prstGeom>
                  </pic:spPr>
                </pic:pic>
              </a:graphicData>
            </a:graphic>
          </wp:inline>
        </w:drawing>
      </w:r>
      <w:r w:rsidR="003574B3">
        <w:t>" was deleted as this is no longer reflected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B2A45" w15:done="0"/>
  <w15:commentEx w15:paraId="197F9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FB96" w16cex:dateUtc="2024-05-23T02:17:00Z"/>
  <w16cex:commentExtensible w16cex:durableId="29FA13B8" w16cex:dateUtc="2024-05-2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B2A45" w16cid:durableId="29F8FB96"/>
  <w16cid:commentId w16cid:paraId="197F9222" w16cid:durableId="29FA1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5BD4E" w14:textId="77777777" w:rsidR="00FF28C3" w:rsidRDefault="00FF28C3">
      <w:r>
        <w:separator/>
      </w:r>
    </w:p>
  </w:endnote>
  <w:endnote w:type="continuationSeparator" w:id="0">
    <w:p w14:paraId="23B0DBE1" w14:textId="77777777" w:rsidR="00FF28C3" w:rsidRDefault="00FF2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390D0" w14:textId="77777777" w:rsidR="00FF28C3" w:rsidRDefault="00FF28C3">
      <w:r>
        <w:separator/>
      </w:r>
    </w:p>
  </w:footnote>
  <w:footnote w:type="continuationSeparator" w:id="0">
    <w:p w14:paraId="21E375F4" w14:textId="77777777" w:rsidR="00FF28C3" w:rsidRDefault="00FF28C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1"/>
    <w:rsid w:val="0002375A"/>
    <w:rsid w:val="000372C4"/>
    <w:rsid w:val="00037AEB"/>
    <w:rsid w:val="00047507"/>
    <w:rsid w:val="00064452"/>
    <w:rsid w:val="00086B34"/>
    <w:rsid w:val="000A363E"/>
    <w:rsid w:val="000A6C19"/>
    <w:rsid w:val="000D2763"/>
    <w:rsid w:val="000D302B"/>
    <w:rsid w:val="000E3124"/>
    <w:rsid w:val="000E461F"/>
    <w:rsid w:val="000F043B"/>
    <w:rsid w:val="000F4D11"/>
    <w:rsid w:val="00122703"/>
    <w:rsid w:val="001235D3"/>
    <w:rsid w:val="00124059"/>
    <w:rsid w:val="00127F1D"/>
    <w:rsid w:val="001410AB"/>
    <w:rsid w:val="00147D61"/>
    <w:rsid w:val="00154AD3"/>
    <w:rsid w:val="00165548"/>
    <w:rsid w:val="001707CE"/>
    <w:rsid w:val="00192470"/>
    <w:rsid w:val="001B2422"/>
    <w:rsid w:val="001C00AD"/>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41E77"/>
    <w:rsid w:val="003438F6"/>
    <w:rsid w:val="003574B3"/>
    <w:rsid w:val="00372A43"/>
    <w:rsid w:val="0037382A"/>
    <w:rsid w:val="00387B81"/>
    <w:rsid w:val="00390544"/>
    <w:rsid w:val="003948A5"/>
    <w:rsid w:val="0039570B"/>
    <w:rsid w:val="00396049"/>
    <w:rsid w:val="003A1A55"/>
    <w:rsid w:val="003B4362"/>
    <w:rsid w:val="003B4F38"/>
    <w:rsid w:val="003B63A4"/>
    <w:rsid w:val="003B7842"/>
    <w:rsid w:val="003E3FCD"/>
    <w:rsid w:val="00426BD9"/>
    <w:rsid w:val="00433665"/>
    <w:rsid w:val="004555BC"/>
    <w:rsid w:val="0045668E"/>
    <w:rsid w:val="00480A91"/>
    <w:rsid w:val="00495911"/>
    <w:rsid w:val="004D1991"/>
    <w:rsid w:val="004E664E"/>
    <w:rsid w:val="004F08AF"/>
    <w:rsid w:val="00505B97"/>
    <w:rsid w:val="00506FF1"/>
    <w:rsid w:val="00514844"/>
    <w:rsid w:val="00517AAA"/>
    <w:rsid w:val="00525C2D"/>
    <w:rsid w:val="00535091"/>
    <w:rsid w:val="005445E0"/>
    <w:rsid w:val="00550A35"/>
    <w:rsid w:val="005554F1"/>
    <w:rsid w:val="00573EF7"/>
    <w:rsid w:val="005923A0"/>
    <w:rsid w:val="00592866"/>
    <w:rsid w:val="00595A1B"/>
    <w:rsid w:val="005B66DA"/>
    <w:rsid w:val="005C1896"/>
    <w:rsid w:val="005C2E16"/>
    <w:rsid w:val="005C6066"/>
    <w:rsid w:val="005D5A5A"/>
    <w:rsid w:val="005E172B"/>
    <w:rsid w:val="005E477B"/>
    <w:rsid w:val="00605D68"/>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31EEE"/>
    <w:rsid w:val="007418AB"/>
    <w:rsid w:val="007462EA"/>
    <w:rsid w:val="00756CC4"/>
    <w:rsid w:val="00760148"/>
    <w:rsid w:val="00765BF7"/>
    <w:rsid w:val="00780A4D"/>
    <w:rsid w:val="00784ACF"/>
    <w:rsid w:val="00791CC7"/>
    <w:rsid w:val="00791E4C"/>
    <w:rsid w:val="00793CE0"/>
    <w:rsid w:val="007D4D64"/>
    <w:rsid w:val="007E4A99"/>
    <w:rsid w:val="007E5615"/>
    <w:rsid w:val="007F54BF"/>
    <w:rsid w:val="007F6437"/>
    <w:rsid w:val="0080071F"/>
    <w:rsid w:val="00802CCE"/>
    <w:rsid w:val="008048F2"/>
    <w:rsid w:val="008236FD"/>
    <w:rsid w:val="0082392B"/>
    <w:rsid w:val="0082670C"/>
    <w:rsid w:val="00837046"/>
    <w:rsid w:val="008449C0"/>
    <w:rsid w:val="00852534"/>
    <w:rsid w:val="00856062"/>
    <w:rsid w:val="008613C9"/>
    <w:rsid w:val="008729FC"/>
    <w:rsid w:val="00883662"/>
    <w:rsid w:val="008878AD"/>
    <w:rsid w:val="008A1B52"/>
    <w:rsid w:val="008A545D"/>
    <w:rsid w:val="008B6513"/>
    <w:rsid w:val="008C3D5D"/>
    <w:rsid w:val="008C7B2F"/>
    <w:rsid w:val="009201FB"/>
    <w:rsid w:val="00923550"/>
    <w:rsid w:val="00934248"/>
    <w:rsid w:val="0093442F"/>
    <w:rsid w:val="00941163"/>
    <w:rsid w:val="009520E0"/>
    <w:rsid w:val="00955635"/>
    <w:rsid w:val="00964DBB"/>
    <w:rsid w:val="00965D6C"/>
    <w:rsid w:val="00971B99"/>
    <w:rsid w:val="009946DA"/>
    <w:rsid w:val="009B01DF"/>
    <w:rsid w:val="009B08AC"/>
    <w:rsid w:val="009B2031"/>
    <w:rsid w:val="009B7318"/>
    <w:rsid w:val="009D49F7"/>
    <w:rsid w:val="009D4EC0"/>
    <w:rsid w:val="009D6C74"/>
    <w:rsid w:val="009E6217"/>
    <w:rsid w:val="00A538C0"/>
    <w:rsid w:val="00A64675"/>
    <w:rsid w:val="00A6474C"/>
    <w:rsid w:val="00A739C3"/>
    <w:rsid w:val="00A8188A"/>
    <w:rsid w:val="00A9063E"/>
    <w:rsid w:val="00A963F6"/>
    <w:rsid w:val="00AA3854"/>
    <w:rsid w:val="00AA490E"/>
    <w:rsid w:val="00AB4F09"/>
    <w:rsid w:val="00AC151E"/>
    <w:rsid w:val="00AC6E6B"/>
    <w:rsid w:val="00AD0467"/>
    <w:rsid w:val="00AD40D9"/>
    <w:rsid w:val="00AE0D9B"/>
    <w:rsid w:val="00AE0F27"/>
    <w:rsid w:val="00AE5E0F"/>
    <w:rsid w:val="00AF4B07"/>
    <w:rsid w:val="00B129C2"/>
    <w:rsid w:val="00B279C4"/>
    <w:rsid w:val="00B62ED7"/>
    <w:rsid w:val="00B670E6"/>
    <w:rsid w:val="00B75E64"/>
    <w:rsid w:val="00B77B18"/>
    <w:rsid w:val="00B935B8"/>
    <w:rsid w:val="00B97EE2"/>
    <w:rsid w:val="00BC1556"/>
    <w:rsid w:val="00BC6693"/>
    <w:rsid w:val="00BD313A"/>
    <w:rsid w:val="00BD4053"/>
    <w:rsid w:val="00BE132C"/>
    <w:rsid w:val="00C030D0"/>
    <w:rsid w:val="00C04828"/>
    <w:rsid w:val="00C06639"/>
    <w:rsid w:val="00C10E54"/>
    <w:rsid w:val="00C20ADD"/>
    <w:rsid w:val="00C37346"/>
    <w:rsid w:val="00C44FF7"/>
    <w:rsid w:val="00C478F8"/>
    <w:rsid w:val="00C66C19"/>
    <w:rsid w:val="00C84BF5"/>
    <w:rsid w:val="00CA2168"/>
    <w:rsid w:val="00CA2250"/>
    <w:rsid w:val="00CA3FE4"/>
    <w:rsid w:val="00CA4776"/>
    <w:rsid w:val="00CB7C60"/>
    <w:rsid w:val="00CC4208"/>
    <w:rsid w:val="00CC47B2"/>
    <w:rsid w:val="00CE1B6B"/>
    <w:rsid w:val="00CE6E35"/>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4FD8"/>
    <w:rsid w:val="00E35297"/>
    <w:rsid w:val="00E41CCF"/>
    <w:rsid w:val="00E41F1C"/>
    <w:rsid w:val="00E736C2"/>
    <w:rsid w:val="00E73F31"/>
    <w:rsid w:val="00E85545"/>
    <w:rsid w:val="00E86E95"/>
    <w:rsid w:val="00EA1234"/>
    <w:rsid w:val="00EA32B5"/>
    <w:rsid w:val="00ED2A0B"/>
    <w:rsid w:val="00EF2890"/>
    <w:rsid w:val="00EF3858"/>
    <w:rsid w:val="00F3170E"/>
    <w:rsid w:val="00F41D2C"/>
    <w:rsid w:val="00F428D7"/>
    <w:rsid w:val="00F4323C"/>
    <w:rsid w:val="00F55D9E"/>
    <w:rsid w:val="00F5687C"/>
    <w:rsid w:val="00F62751"/>
    <w:rsid w:val="00F7559C"/>
    <w:rsid w:val="00F75F61"/>
    <w:rsid w:val="00F808E2"/>
    <w:rsid w:val="00F81030"/>
    <w:rsid w:val="00F92635"/>
    <w:rsid w:val="00F9297F"/>
    <w:rsid w:val="00FA56BE"/>
    <w:rsid w:val="00FD3D1C"/>
    <w:rsid w:val="00FF2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5:docId w15:val="{EB27C740-C92F-4253-8980-20250822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40">
      <w:bodyDiv w:val="1"/>
      <w:marLeft w:val="0"/>
      <w:marRight w:val="0"/>
      <w:marTop w:val="0"/>
      <w:marBottom w:val="0"/>
      <w:divBdr>
        <w:top w:val="none" w:sz="0" w:space="0" w:color="auto"/>
        <w:left w:val="none" w:sz="0" w:space="0" w:color="auto"/>
        <w:bottom w:val="none" w:sz="0" w:space="0" w:color="auto"/>
        <w:right w:val="none" w:sz="0" w:space="0" w:color="auto"/>
      </w:divBdr>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830483166">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DAVENPORTD\Downloads\10.5281\zenodo.10172611"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37</Pages>
  <Words>21474</Words>
  <Characters>122404</Characters>
  <Application>Microsoft Office Word</Application>
  <DocSecurity>0</DocSecurity>
  <Lines>1020</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17</cp:revision>
  <cp:lastPrinted>2020-09-23T14:57:00Z</cp:lastPrinted>
  <dcterms:created xsi:type="dcterms:W3CDTF">2024-05-23T02:28:00Z</dcterms:created>
  <dcterms:modified xsi:type="dcterms:W3CDTF">2024-05-28T01:07:00Z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