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0CF36AC1" w:rsidR="001235D3" w:rsidRPr="00DB19EF" w:rsidRDefault="001235D3" w:rsidP="001235D3">
      <w:pPr>
        <w:pStyle w:val="Standard"/>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DB19EF">
        <w:t>Andreotti</w:t>
      </w:r>
      <w:r w:rsidRPr="00DB19EF">
        <w:rPr>
          <w:vertAlign w:val="superscript"/>
        </w:rPr>
        <w:t>c</w:t>
      </w:r>
      <w:proofErr w:type="spellEnd"/>
      <w:r w:rsidRPr="00DB19EF">
        <w:t>, Conrad</w:t>
      </w:r>
      <w:r w:rsidRPr="00DB19EF">
        <w:rPr>
          <w:shd w:val="clear" w:color="auto" w:fill="FFFFFF"/>
        </w:rPr>
        <w:t> </w:t>
      </w:r>
      <w:proofErr w:type="spellStart"/>
      <w:r w:rsidRPr="00DB19EF">
        <w:rPr>
          <w:shd w:val="clear" w:color="auto" w:fill="FFFFFF"/>
        </w:rPr>
        <w:t>Matthee</w:t>
      </w:r>
      <w:r w:rsidRPr="00DB19EF">
        <w:rPr>
          <w:vertAlign w:val="superscript"/>
        </w:rPr>
        <w:t>c</w:t>
      </w:r>
      <w:proofErr w:type="spellEnd"/>
      <w:r w:rsidRPr="00DB19EF">
        <w:t xml:space="preserve">, Andrew </w:t>
      </w:r>
      <w:proofErr w:type="spellStart"/>
      <w:r w:rsidRPr="00DB19EF">
        <w:t>Jones</w:t>
      </w:r>
      <w:r w:rsidRPr="00DB19EF">
        <w:rPr>
          <w:vertAlign w:val="superscript"/>
        </w:rPr>
        <w:t>a</w:t>
      </w:r>
      <w:proofErr w:type="spellEnd"/>
      <w:r w:rsidRPr="00DB19EF">
        <w:t xml:space="preserve">, Jennifer </w:t>
      </w:r>
      <w:proofErr w:type="spellStart"/>
      <w:r w:rsidRPr="00DB19EF">
        <w:t>Ovenden</w:t>
      </w:r>
      <w:r w:rsidRPr="00DB19EF">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DDFC6DD" w14:textId="77777777" w:rsidR="001235D3" w:rsidRPr="008729FC" w:rsidRDefault="001235D3" w:rsidP="001235D3">
      <w:pPr>
        <w:pStyle w:val="Standard"/>
        <w:rPr>
          <w:lang w:val="fr-FR"/>
        </w:rPr>
      </w:pPr>
      <w:r w:rsidRPr="008729FC">
        <w:rPr>
          <w:lang w:val="fr-FR"/>
        </w:rPr>
        <w:t>Sara Andreotti &lt;andreottisara@gmail.com&gt;</w:t>
      </w:r>
    </w:p>
    <w:p w14:paraId="5CDCBD49" w14:textId="77777777" w:rsidR="001235D3" w:rsidRPr="00DB19EF" w:rsidRDefault="001235D3" w:rsidP="001235D3">
      <w:pPr>
        <w:pStyle w:val="Standard"/>
      </w:pPr>
      <w:r w:rsidRPr="00DB19EF">
        <w:t>Conrad</w:t>
      </w:r>
      <w:r w:rsidRPr="00DB19EF">
        <w:rPr>
          <w:shd w:val="clear" w:color="auto" w:fill="FFFFFF"/>
        </w:rPr>
        <w:t> </w:t>
      </w:r>
      <w:proofErr w:type="spellStart"/>
      <w:r w:rsidRPr="00DB19EF">
        <w:rPr>
          <w:shd w:val="clear" w:color="auto" w:fill="FFFFFF"/>
        </w:rPr>
        <w:t>Matthee</w:t>
      </w:r>
      <w:proofErr w:type="spellEnd"/>
      <w:r w:rsidRPr="00DB19EF">
        <w:rPr>
          <w:shd w:val="clear" w:color="auto" w:fill="FFFFFF"/>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6B7423F7" w14:textId="65F47104" w:rsidR="001707CE" w:rsidRPr="001707CE" w:rsidRDefault="001707CE" w:rsidP="001707CE">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61A68C6E" w:rsidR="001235D3" w:rsidRPr="00DB19EF" w:rsidRDefault="001235D3" w:rsidP="001235D3">
      <w:pPr>
        <w:pStyle w:val="Standard"/>
        <w:spacing w:after="280"/>
      </w:pPr>
      <w:r w:rsidRPr="00DB19EF">
        <w:t>D.D performed sample preparation, data analysis, simulations and wrote the manuscript. AJ calculated combined estimates. J.O. &amp; P.B coordinated and led the project. P.B collected NSW samples. S.A and C.M collected SA samples and performed microsatellite genotyping. All authors contributed to</w:t>
      </w:r>
      <w:r w:rsidR="00535091">
        <w:t xml:space="preserve"> and approved </w:t>
      </w:r>
      <w:r w:rsidRPr="00DB19EF">
        <w:t>the final 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22A9A0A4"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DB19EF">
        <w:t xml:space="preserve">and ranged </w:t>
      </w:r>
      <w:r w:rsidR="00F92635" w:rsidRPr="00DB19EF">
        <w:t>between</w:t>
      </w:r>
      <m:oMath>
        <m:r>
          <w:rPr>
            <w:rFonts w:ascii="Cambria Math" w:hAnsi="Cambria Math"/>
          </w:rPr>
          <m:t xml:space="preserve"> </m:t>
        </m:r>
      </m:oMath>
      <w:r w:rsidR="00F92635" w:rsidRPr="008729FC">
        <w:rPr>
          <w:highlight w:val="yellow"/>
        </w:rPr>
        <w:t>(</w:t>
      </w:r>
      <w:r w:rsidR="00AE0F27" w:rsidRPr="008729FC">
        <w:rPr>
          <w:highlight w:val="yellow"/>
        </w:rPr>
        <w:t>SD</w:t>
      </w:r>
      <w:r w:rsidR="00F92635" w:rsidRPr="008729FC">
        <w:rPr>
          <w:highlight w:val="yellow"/>
        </w:rPr>
        <w:t>±) and</w:t>
      </w:r>
      <m:oMath>
        <m:r>
          <w:rPr>
            <w:rFonts w:ascii="Cambria Math" w:hAnsi="Cambria Math"/>
            <w:highlight w:val="yellow"/>
          </w:rPr>
          <m:t xml:space="preserve"> </m:t>
        </m:r>
      </m:oMath>
      <w:r w:rsidR="00F92635" w:rsidRPr="008729FC">
        <w:rPr>
          <w:highlight w:val="yellow"/>
        </w:rPr>
        <w:t>(</w:t>
      </w:r>
      <w:r w:rsidR="00AE0F27" w:rsidRPr="008729FC">
        <w:rPr>
          <w:highlight w:val="yellow"/>
        </w:rPr>
        <w:t>SD</w:t>
      </w:r>
      <w:r w:rsidR="00F92635" w:rsidRPr="008729FC">
        <w:rPr>
          <w:highlight w:val="yellow"/>
        </w:rPr>
        <w:t>±)</w:t>
      </w:r>
      <w:r w:rsidR="009B2031">
        <w:t xml:space="preserve"> per year </w:t>
      </w:r>
      <w:r w:rsidR="00F92635" w:rsidRPr="00DB19EF">
        <w:t xml:space="preserve">using a combined estimate of </w:t>
      </w:r>
      <m:oMath>
        <m:r>
          <w:rPr>
            <w:rFonts w:ascii="Cambria Math" w:hAnsi="Cambria Math"/>
          </w:rPr>
          <m:t>Nb</m:t>
        </m:r>
        <m:d>
          <m:dPr>
            <m:ctrlPr>
              <w:rPr>
                <w:rFonts w:ascii="Cambria Math" w:hAnsi="Cambria Math"/>
                <w:i/>
              </w:rPr>
            </m:ctrlPr>
          </m:dPr>
          <m:e>
            <m:r>
              <w:rPr>
                <w:rFonts w:ascii="Cambria Math" w:hAnsi="Cambria Math"/>
              </w:rPr>
              <m:t>LD+SA</m:t>
            </m:r>
          </m:e>
        </m:d>
      </m:oMath>
      <w:r w:rsidR="00F92635" w:rsidRPr="00DB19EF">
        <w:t xml:space="preserve"> </w:t>
      </w:r>
      <w:r w:rsidR="00F92635" w:rsidRPr="008729FC">
        <w:t>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time to provide insight into the effectiveness of recovery and conservation </w:t>
      </w:r>
      <w:r w:rsidR="008729FC" w:rsidRPr="008729FC">
        <w:lastRenderedPageBreak/>
        <w:t>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3DE399D9"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stream productivity, competition, habitat quality, year-of-the-young development) effects on long-term population viability, with significant implications for management and conservation.</w:t>
      </w:r>
    </w:p>
    <w:p w14:paraId="4F9DAA25" w14:textId="28925313"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proofErr w:type="spellStart"/>
      <w:r w:rsidRPr="007061FF">
        <w:rPr>
          <w:i/>
        </w:rPr>
        <w:t>carcahrias</w:t>
      </w:r>
      <w:proofErr w:type="spellEnd"/>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56FFC756" w:rsidR="001235D3" w:rsidRPr="00DB19EF" w:rsidRDefault="001235D3" w:rsidP="001235D3">
      <w:pPr>
        <w:pStyle w:val="Standard"/>
        <w:spacing w:line="480" w:lineRule="auto"/>
        <w:ind w:firstLine="720"/>
        <w:jc w:val="both"/>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w:t>
      </w:r>
      <w:r w:rsidR="003B0F04">
        <w:rPr>
          <w:highlight w:val="yellow"/>
        </w:rPr>
        <w:t>R</w:t>
      </w:r>
      <w:proofErr w:type="spellEnd"/>
      <w:r w:rsidR="003B0F04">
        <w:rPr>
          <w:highlight w:val="yellow"/>
        </w:rPr>
        <w:t>, v.2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DB19EF">
        <w:rPr>
          <w:i/>
        </w:rPr>
        <w:t>k</w:t>
      </w:r>
      <w:r w:rsidRPr="00DB19EF">
        <w:t xml:space="preserve"> = </w:t>
      </w:r>
      <w:r w:rsidR="00E41F1C">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greater than 20%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2F75A0">
        <w:t>greater</w:t>
      </w:r>
      <w:r w:rsidRPr="00DB19EF">
        <w:t xml:space="preserve"> than or equal to </w:t>
      </w:r>
      <w:r w:rsidR="00F9297F" w:rsidRPr="00DB19EF">
        <w:t xml:space="preserve">+ </w:t>
      </w:r>
      <w:r w:rsidRPr="00DB19EF">
        <w:t xml:space="preserve">0.5 </w:t>
      </w:r>
      <w:r w:rsidR="002F75A0">
        <w:t>or less</w:t>
      </w:r>
      <w:r w:rsidRPr="00DB19EF">
        <w:t xml:space="preserve"> than </w:t>
      </w:r>
      <w:r w:rsidR="00F9297F" w:rsidRPr="00DB19EF">
        <w:t xml:space="preserve">- </w:t>
      </w:r>
      <w:r w:rsidRPr="00DB19EF">
        <w:t xml:space="preserve">0.5 (see Table S3.2, Supplementary Materials 3). Dataset-2 was then used to make estimates of </w:t>
      </w:r>
      <w:r w:rsidRPr="00DB19EF">
        <w:rPr>
          <w:i/>
        </w:rPr>
        <w:t>Nb</w:t>
      </w:r>
      <w:r w:rsidRPr="00DB19EF">
        <w:t>.</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xml:space="preserve">. Fourteen of the loci were derived from previous studies: Ccar1, Ccar13, Ccar6.27x, Ccar9, Iox10, Cca1419, Cca83, Cca1536, Cca1273, Cca711, Cca1072, Cca1466, Cca1276, Cca1226 (Gubili et al., 2010; O’Leary et al., 2015; Pardini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lastRenderedPageBreak/>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a higher probability of sharing the same parent or parents (Wang, 2009). The SA method (Wang, 2009) determines the size of the parental generation by estimating the probability that dyad </w:t>
      </w:r>
      <w:r w:rsidRPr="00DB19EF">
        <w:lastRenderedPageBreak/>
        <w:t xml:space="preserve">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0"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0"/>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w:t>
      </w:r>
      <w:r w:rsidRPr="00DB19EF">
        <w:lastRenderedPageBreak/>
        <w:t xml:space="preserve">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1" w:name="_2et92p0"/>
      <w:bookmarkEnd w:id="11"/>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by taking the harmonic mean of the two values, weighted by the inverse of their variances as suggested in previous studies (see </w:t>
      </w:r>
      <w:proofErr w:type="spellStart"/>
      <w:r w:rsidRPr="00DB19EF">
        <w:t>Waples</w:t>
      </w:r>
      <w:proofErr w:type="spellEnd"/>
      <w:r w:rsidRPr="00DB19EF">
        <w:t xml:space="preserve">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2" w:name="_7g9bs8fxf0s4"/>
      <w:bookmarkEnd w:id="12"/>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w:lastRenderedPageBreak/>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individual was represented by 100 microsatellite-like loci, each having 10 possible 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w:t>
      </w:r>
      <w:r w:rsidR="00A64675" w:rsidRPr="0082670C">
        <w:rPr>
          <w:rFonts w:ascii="Calibri" w:hAnsi="Calibri"/>
        </w:rPr>
        <w:lastRenderedPageBreak/>
        <w:t xml:space="preserve">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3"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6"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3"/>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DB19EF" w:rsidRDefault="001235D3" w:rsidP="001235D3">
      <w:pPr>
        <w:pStyle w:val="Standard"/>
        <w:keepNext/>
        <w:keepLines/>
        <w:widowControl/>
        <w:spacing w:before="120" w:after="280" w:line="480" w:lineRule="auto"/>
        <w:ind w:firstLine="720"/>
      </w:pPr>
      <w:r w:rsidRPr="00DB19EF">
        <w:rPr>
          <w:i/>
          <w:sz w:val="28"/>
          <w:szCs w:val="28"/>
        </w:rPr>
        <w:t>Results</w:t>
      </w:r>
    </w:p>
    <w:p w14:paraId="5F84B4E1" w14:textId="6AE6958C" w:rsidR="001235D3" w:rsidRPr="00DB19EF" w:rsidRDefault="005B66DA" w:rsidP="001235D3">
      <w:pPr>
        <w:pStyle w:val="Standard"/>
        <w:keepNext/>
        <w:keepLines/>
        <w:widowControl/>
        <w:spacing w:before="200"/>
        <w:ind w:firstLine="720"/>
      </w:pPr>
      <w:bookmarkStart w:id="14" w:name="_tyjcwt"/>
      <w:bookmarkEnd w:id="14"/>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5" w:name="_3dy6vkm"/>
      <w:bookmarkEnd w:id="15"/>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2013 (n = 67), 2014 (n = 23), 2015 (n = 9) and 2016 (n = 2). The physical size of individuals within age-cohorts increased with age (Figure 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xml:space="preserve">= 43, 207 cm and 276 cm FL), </w:t>
      </w:r>
      <w:r w:rsidRPr="00DB19EF">
        <w:lastRenderedPageBreak/>
        <w:t>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6" w:name="_1t3h5sf"/>
      <w:bookmarkEnd w:id="16"/>
      <w:r w:rsidRPr="00DB19EF">
        <w:t xml:space="preserve">The DArTsoft14 pipeline delivered 9841 SNPs across 9180 loci. </w:t>
      </w:r>
      <w:bookmarkStart w:id="17"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7"/>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8" w:name="_4d34og8"/>
      <w:bookmarkEnd w:id="18"/>
      <w:r w:rsidRPr="00DB19EF">
        <w:rPr>
          <w:i/>
          <w:sz w:val="28"/>
          <w:szCs w:val="28"/>
        </w:rPr>
        <w:t>Estima</w:t>
      </w:r>
      <w:r w:rsidR="00F808E2">
        <w:rPr>
          <w:i/>
          <w:sz w:val="28"/>
          <w:szCs w:val="28"/>
        </w:rPr>
        <w:t>tes</w:t>
      </w:r>
      <w:r w:rsidRPr="00DB19EF">
        <w:rPr>
          <w:i/>
          <w:sz w:val="28"/>
          <w:szCs w:val="28"/>
        </w:rPr>
        <w:t xml:space="preserve"> of Nb</w:t>
      </w:r>
    </w:p>
    <w:p w14:paraId="04BE897D" w14:textId="2A87D9F6" w:rsidR="001235D3" w:rsidRPr="008729FC" w:rsidRDefault="001235D3" w:rsidP="001235D3">
      <w:pPr>
        <w:pStyle w:val="Standard"/>
        <w:spacing w:after="280" w:line="480" w:lineRule="auto"/>
        <w:jc w:val="both"/>
        <w:rPr>
          <w:u w:val="single"/>
        </w:rPr>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19"/>
      <w:r w:rsidRPr="00DB19EF">
        <w:t>interval</w:t>
      </w:r>
      <w:r w:rsidR="008729FC">
        <w:t>s</w:t>
      </w:r>
      <w:commentRangeEnd w:id="19"/>
      <w:r w:rsidR="008729FC">
        <w:rPr>
          <w:rStyle w:val="CommentReference"/>
          <w:rFonts w:cs="Mangal"/>
        </w:rPr>
        <w:commentReference w:id="19"/>
      </w:r>
      <w:r w:rsidR="008729FC">
        <w:t xml:space="preserve"> </w:t>
      </w:r>
      <w:r w:rsidRPr="00DB19EF">
        <w:t xml:space="preserve">(Table 1). Estimates of </w:t>
      </w:r>
      <m:oMath>
        <m:r>
          <w:rPr>
            <w:rFonts w:ascii="Cambria Math" w:hAnsi="Cambria Math"/>
          </w:rPr>
          <m:t>Nb(SA)</m:t>
        </m:r>
      </m:oMath>
      <w:r w:rsidRPr="00DB19EF">
        <w:t xml:space="preserve"> were not sensitive to changes in model parameters such as the sibship prior, inbreeding settings, error rate and polygamy settings (Table S4.1). This was consistent with the expectations of the SA 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lastRenderedPageBreak/>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787843B8" w:rsidR="0093442F" w:rsidRDefault="001235D3" w:rsidP="0093442F">
      <w:pPr>
        <w:pStyle w:val="Standard"/>
        <w:spacing w:after="280" w:line="480" w:lineRule="auto"/>
        <w:ind w:firstLine="720"/>
        <w:jc w:val="both"/>
        <w:rPr>
          <w:ins w:id="20"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1" w:name="_Hlk167383373"/>
      <w:bookmarkStart w:id="22" w:name="_Hlk167383832"/>
      <w:r w:rsidRPr="00DB19EF">
        <w:t xml:space="preserve">in </w:t>
      </w:r>
      <w:bookmarkEnd w:id="21"/>
      <w:bookmarkEnd w:id="22"/>
      <w:r w:rsidR="003574B3" w:rsidRPr="00471320">
        <w:rPr>
          <w:rFonts w:cstheme="minorHAnsi"/>
        </w:rPr>
        <w:t xml:space="preserve">2010, </w:t>
      </w:r>
      <m:oMath>
        <m:r>
          <w:rPr>
            <w:rFonts w:ascii="Cambria Math" w:hAnsi="Cambria Math" w:cstheme="minorHAnsi"/>
          </w:rPr>
          <m:t>Nb</m:t>
        </m:r>
        <m:d>
          <m:dPr>
            <m:ctrlPr>
              <w:rPr>
                <w:rFonts w:ascii="Cambria Math" w:hAnsi="Cambria Math" w:cstheme="minorHAnsi"/>
                <w:i/>
              </w:rPr>
            </m:ctrlPr>
          </m:dPr>
          <m:e>
            <m:r>
              <w:rPr>
                <w:rFonts w:ascii="Cambria Math" w:hAnsi="Cambria Math" w:cstheme="minorHAnsi"/>
              </w:rPr>
              <m:t>LD+</m:t>
            </m:r>
            <m:sSub>
              <m:sSubPr>
                <m:ctrlPr>
                  <w:rPr>
                    <w:rFonts w:ascii="Cambria Math" w:hAnsi="Cambria Math" w:cstheme="minorHAnsi"/>
                  </w:rPr>
                </m:ctrlPr>
              </m:sSubPr>
              <m:e>
                <m:r>
                  <w:rPr>
                    <w:rFonts w:ascii="Cambria Math" w:hAnsi="Cambria Math" w:cstheme="minorHAnsi"/>
                  </w:rPr>
                  <m:t>SA</m:t>
                </m:r>
              </m:e>
              <m:sub>
                <m:r>
                  <w:rPr>
                    <w:rFonts w:ascii="Cambria Math" w:hAnsi="Cambria Math" w:cstheme="minorHAnsi"/>
                  </w:rPr>
                  <m:t>2010</m:t>
                </m:r>
              </m:sub>
            </m:sSub>
          </m:e>
        </m:d>
        <m:r>
          <w:rPr>
            <w:rFonts w:ascii="Cambria Math" w:hAnsi="Cambria Math" w:cstheme="minorHAnsi"/>
          </w:rPr>
          <m:t>=</m:t>
        </m:r>
        <m:r>
          <w:rPr>
            <w:rFonts w:ascii="Cambria Math" w:hAnsi="Cambria Math" w:cstheme="minorHAnsi"/>
            <w:highlight w:val="yellow"/>
          </w:rPr>
          <m:t>95.1</m:t>
        </m:r>
        <m:d>
          <m:dPr>
            <m:ctrlPr>
              <w:rPr>
                <w:rFonts w:ascii="Cambria Math" w:hAnsi="Cambria Math" w:cstheme="minorHAnsi"/>
                <w:i/>
                <w:highlight w:val="yellow"/>
              </w:rPr>
            </m:ctrlPr>
          </m:dPr>
          <m:e>
            <m:r>
              <w:rPr>
                <w:rFonts w:ascii="Cambria Math" w:hAnsi="Cambria Math" w:cstheme="minorHAnsi"/>
                <w:highlight w:val="yellow"/>
              </w:rPr>
              <m:t>20.6 SD</m:t>
            </m:r>
          </m:e>
        </m:d>
        <m:r>
          <w:rPr>
            <w:rFonts w:ascii="Cambria Math" w:hAnsi="Cambria Math" w:cstheme="minorHAnsi"/>
          </w:rPr>
          <m:t>,</m:t>
        </m:r>
      </m:oMath>
      <w:r w:rsidR="003574B3" w:rsidRPr="00471320">
        <w:rPr>
          <w:rFonts w:cstheme="minorHAnsi"/>
        </w:rPr>
        <w:t xml:space="preserve"> to the largest in 2011, </w:t>
      </w:r>
      <m:oMath>
        <m:r>
          <w:rPr>
            <w:rFonts w:ascii="Cambria Math" w:hAnsi="Cambria Math" w:cstheme="minorHAnsi"/>
          </w:rPr>
          <m:t>Nb(LD+</m:t>
        </m:r>
        <m:sSub>
          <m:sSubPr>
            <m:ctrlPr>
              <w:rPr>
                <w:rFonts w:ascii="Cambria Math" w:hAnsi="Cambria Math" w:cstheme="minorHAnsi"/>
              </w:rPr>
            </m:ctrlPr>
          </m:sSubPr>
          <m:e>
            <m:r>
              <w:rPr>
                <w:rFonts w:ascii="Cambria Math" w:hAnsi="Cambria Math" w:cstheme="minorHAnsi"/>
              </w:rPr>
              <m:t>SA</m:t>
            </m:r>
          </m:e>
          <m:sub>
            <m:r>
              <w:rPr>
                <w:rFonts w:ascii="Cambria Math" w:hAnsi="Cambria Math" w:cstheme="minorHAnsi"/>
              </w:rPr>
              <m:t>2011</m:t>
            </m:r>
          </m:sub>
        </m:sSub>
        <m:r>
          <w:rPr>
            <w:rFonts w:ascii="Cambria Math" w:hAnsi="Cambria Math" w:cstheme="minorHAnsi"/>
          </w:rPr>
          <m:t>)=</m:t>
        </m:r>
        <m:r>
          <w:rPr>
            <w:rFonts w:ascii="Cambria Math" w:hAnsi="Cambria Math" w:cstheme="minorHAnsi"/>
            <w:highlight w:val="yellow"/>
          </w:rPr>
          <m:t>286.4(57.8 SD</m:t>
        </m:r>
        <m:r>
          <w:rPr>
            <w:rFonts w:ascii="Cambria Math" w:hAnsi="Cambria Math" w:cstheme="minorHAnsi"/>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0.13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0.38,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lastRenderedPageBreak/>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w:t>
      </w:r>
      <w:r w:rsidRPr="004D1991">
        <w:rPr>
          <w:rFonts w:asciiTheme="minorHAnsi" w:hAnsiTheme="minorHAnsi" w:cstheme="minorHAnsi"/>
          <w:lang w:val="en-US" w:eastAsia="en-US"/>
        </w:rPr>
        <w:lastRenderedPageBreak/>
        <w:t xml:space="preserve">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(Ackerman et al., 2017; Wang, 2009) which have demonstrated that false sibships (type I errors) </w:t>
      </w:r>
      <w:r w:rsidRPr="004D1991">
        <w:rPr>
          <w:rFonts w:asciiTheme="minorHAnsi" w:hAnsiTheme="minorHAnsi" w:cstheme="minorHAnsi"/>
          <w:lang w:val="en-US" w:eastAsia="en-US"/>
        </w:rPr>
        <w:lastRenderedPageBreak/>
        <w:t xml:space="preserve">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3"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4"/>
      <w:r w:rsidRPr="003574B3">
        <w:rPr>
          <w:rFonts w:asciiTheme="minorHAnsi" w:hAnsiTheme="minorHAnsi" w:cstheme="minorHAnsi"/>
          <w:highlight w:val="yellow"/>
          <w:lang w:val="en-US" w:eastAsia="en-US"/>
        </w:rPr>
        <w:t>methods</w:t>
      </w:r>
      <w:commentRangeEnd w:id="24"/>
      <w:r w:rsidR="008A545D" w:rsidRPr="003574B3">
        <w:rPr>
          <w:rStyle w:val="CommentReference"/>
          <w:rFonts w:ascii="Calibri" w:eastAsia="Linux Libertine G" w:hAnsi="Calibri" w:cs="Mangal"/>
          <w:highlight w:val="yellow"/>
          <w:lang w:eastAsia="zh-CN" w:bidi="hi-IN"/>
        </w:rPr>
        <w:commentReference w:id="24"/>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3"/>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(Hedgecock, 1994). In contrast, when ratios are &lt; 1, we can infer there is some deviation from the </w:t>
      </w:r>
      <w:r w:rsidRPr="007113F2">
        <w:rPr>
          <w:rFonts w:asciiTheme="minorHAnsi" w:hAnsiTheme="minorHAnsi" w:cstheme="minorHAnsi"/>
          <w:color w:val="000000" w:themeColor="text1"/>
          <w:lang w:val="en-US" w:eastAsia="en-US"/>
        </w:rPr>
        <w:lastRenderedPageBreak/>
        <w:t>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Pr="007113F2" w:rsidRDefault="004D1991" w:rsidP="008729FC">
      <w:pPr>
        <w:spacing w:line="480" w:lineRule="auto"/>
        <w:ind w:firstLine="720"/>
        <w:jc w:val="both"/>
        <w:rPr>
          <w:rFonts w:asciiTheme="minorHAnsi" w:eastAsiaTheme="minorEastAsia" w:hAnsiTheme="minorHAnsi" w:cstheme="minorHAnsi"/>
          <w:color w:val="000000" w:themeColor="text1"/>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w:t>
      </w:r>
      <w:r w:rsidRPr="007113F2">
        <w:rPr>
          <w:rFonts w:asciiTheme="minorHAnsi" w:hAnsiTheme="minorHAnsi" w:cstheme="minorHAnsi"/>
          <w:color w:val="000000" w:themeColor="text1"/>
          <w:lang w:val="en-US" w:eastAsia="en-US"/>
        </w:rPr>
        <w:lastRenderedPageBreak/>
        <w:t xml:space="preserve">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2015). Given this, together with the lack of evidence from other studies to date of an expected </w:t>
      </w:r>
      <w:r w:rsidRPr="007113F2">
        <w:rPr>
          <w:rFonts w:asciiTheme="minorHAnsi" w:hAnsiTheme="minorHAnsi" w:cstheme="minorHAnsi"/>
          <w:color w:val="000000" w:themeColor="text1"/>
          <w:lang w:val="en-US" w:eastAsia="en-US"/>
        </w:rPr>
        <w:lastRenderedPageBreak/>
        <w:t>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w:t>
      </w:r>
      <w:r w:rsidRPr="008729FC">
        <w:rPr>
          <w:rFonts w:asciiTheme="minorHAnsi" w:hAnsiTheme="minorHAnsi" w:cstheme="minorHAnsi"/>
          <w:lang w:val="en-US" w:eastAsia="en-US"/>
        </w:rPr>
        <w:lastRenderedPageBreak/>
        <w:t xml:space="preserve">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41D1B50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5" w:name="_26in1rg"/>
      <w:bookmarkEnd w:id="25"/>
      <w:r w:rsidR="0039570B">
        <w:t xml:space="preserve"> </w:t>
      </w:r>
      <w:bookmarkStart w:id="26" w:name="_Hlk167288775"/>
      <w:r w:rsidR="0039570B" w:rsidRPr="0039570B">
        <w:rPr>
          <w:highlight w:val="magenta"/>
        </w:rPr>
        <w:t>We acknowledge Dean Blower and Paul Butcher who identified an error in the original published version of this MS.</w:t>
      </w:r>
      <w:r w:rsidR="0039570B">
        <w:t xml:space="preserve"> </w:t>
      </w:r>
    </w:p>
    <w:bookmarkEnd w:id="26"/>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27"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28" w:name="_lnxbz9"/>
      <w:bookmarkEnd w:id="28"/>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29"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8A1B52"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21A96659" w:rsidR="008A1B52" w:rsidRPr="008729FC" w:rsidRDefault="00000000" w:rsidP="008A1B52">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2E62CDF4"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95.1(20.6)</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1F83DA31"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286.4(57.8)</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0564765"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236.3(39.1)</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28FDAD02"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204.2(29.3)</w:t>
            </w:r>
          </w:p>
        </w:tc>
      </w:tr>
      <w:tr w:rsidR="008A1B52"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8A1B52" w:rsidRPr="00720D84" w:rsidRDefault="00000000" w:rsidP="008A1B52">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8A1B52"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tbl>
            <w:tblPr>
              <w:tblW w:w="960" w:type="dxa"/>
              <w:tblLayout w:type="fixed"/>
              <w:tblLook w:val="04A0" w:firstRow="1" w:lastRow="0" w:firstColumn="1" w:lastColumn="0" w:noHBand="0" w:noVBand="1"/>
            </w:tblPr>
            <w:tblGrid>
              <w:gridCol w:w="960"/>
            </w:tblGrid>
            <w:tr w:rsidR="008A1B52" w:rsidRPr="008A1B52" w14:paraId="6A7F315C" w14:textId="77777777" w:rsidTr="00802118">
              <w:trPr>
                <w:trHeight w:val="290"/>
              </w:trPr>
              <w:tc>
                <w:tcPr>
                  <w:tcW w:w="960" w:type="dxa"/>
                  <w:tcBorders>
                    <w:top w:val="nil"/>
                    <w:left w:val="nil"/>
                    <w:bottom w:val="nil"/>
                    <w:right w:val="nil"/>
                  </w:tcBorders>
                  <w:shd w:val="clear" w:color="auto" w:fill="auto"/>
                  <w:noWrap/>
                  <w:vAlign w:val="bottom"/>
                  <w:hideMark/>
                </w:tcPr>
                <w:p w14:paraId="26E2EBDC" w14:textId="77777777" w:rsidR="008A1B52" w:rsidRPr="008A1B52" w:rsidRDefault="008A1B52" w:rsidP="008A1B52">
                  <w:pPr>
                    <w:jc w:val="right"/>
                    <w:rPr>
                      <w:rFonts w:asciiTheme="minorHAnsi" w:eastAsia="Times New Roman" w:hAnsiTheme="minorHAnsi" w:cstheme="minorHAnsi"/>
                      <w:color w:val="000000"/>
                      <w:highlight w:val="yellow"/>
                    </w:rPr>
                  </w:pPr>
                  <w:r w:rsidRPr="008A1B52">
                    <w:rPr>
                      <w:rFonts w:asciiTheme="minorHAnsi" w:eastAsia="Times New Roman" w:hAnsiTheme="minorHAnsi" w:cstheme="minorHAnsi"/>
                      <w:color w:val="000000"/>
                      <w:highlight w:val="yellow"/>
                    </w:rPr>
                    <w:t>0.13</w:t>
                  </w:r>
                </w:p>
              </w:tc>
            </w:tr>
          </w:tbl>
          <w:p w14:paraId="6B392C02" w14:textId="00CD82BD" w:rsidR="008A1B52" w:rsidRPr="008A1B52" w:rsidRDefault="008A1B52" w:rsidP="008A1B52">
            <w:pPr>
              <w:pStyle w:val="Standard"/>
              <w:jc w:val="center"/>
              <w:rPr>
                <w:rFonts w:asciiTheme="minorHAnsi" w:hAnsiTheme="minorHAnsi" w:cstheme="minorHAnsi"/>
                <w:highlight w:val="yellow"/>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2C95797B" w:rsidR="008A1B52" w:rsidRPr="008A1B52" w:rsidRDefault="008A1B52" w:rsidP="008A1B52">
            <w:pPr>
              <w:pStyle w:val="Standard"/>
              <w:jc w:val="center"/>
              <w:rPr>
                <w:rFonts w:asciiTheme="minorHAnsi" w:hAnsiTheme="minorHAnsi" w:cstheme="minorHAnsi"/>
                <w:highlight w:val="yellow"/>
              </w:rPr>
            </w:pPr>
            <w:r w:rsidRPr="008A1B52">
              <w:rPr>
                <w:rFonts w:asciiTheme="minorHAnsi" w:eastAsia="Times New Roman" w:hAnsiTheme="minorHAnsi" w:cstheme="minorHAnsi"/>
                <w:color w:val="000000"/>
                <w:highlight w:val="yellow"/>
              </w:rPr>
              <w:t>0.38</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7D621C1A" w:rsidR="008A1B52" w:rsidRPr="008A1B52" w:rsidRDefault="008A1B52" w:rsidP="008A1B52">
            <w:pPr>
              <w:pStyle w:val="Standard"/>
              <w:jc w:val="center"/>
              <w:rPr>
                <w:rFonts w:asciiTheme="minorHAnsi" w:hAnsiTheme="minorHAnsi" w:cstheme="minorHAnsi"/>
                <w:highlight w:val="yellow"/>
              </w:rPr>
            </w:pPr>
            <w:r w:rsidRPr="008A1B52">
              <w:rPr>
                <w:rFonts w:asciiTheme="minorHAnsi" w:eastAsia="Times New Roman" w:hAnsiTheme="minorHAnsi" w:cstheme="minorHAnsi"/>
                <w:color w:val="000000"/>
                <w:highlight w:val="yellow"/>
              </w:rPr>
              <w:t>0.32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tbl>
            <w:tblPr>
              <w:tblW w:w="960" w:type="dxa"/>
              <w:tblLayout w:type="fixed"/>
              <w:tblLook w:val="04A0" w:firstRow="1" w:lastRow="0" w:firstColumn="1" w:lastColumn="0" w:noHBand="0" w:noVBand="1"/>
            </w:tblPr>
            <w:tblGrid>
              <w:gridCol w:w="960"/>
            </w:tblGrid>
            <w:tr w:rsidR="008A1B52" w:rsidRPr="008A1B52" w14:paraId="35B04DDA" w14:textId="77777777" w:rsidTr="00802118">
              <w:trPr>
                <w:trHeight w:val="290"/>
              </w:trPr>
              <w:tc>
                <w:tcPr>
                  <w:tcW w:w="960" w:type="dxa"/>
                  <w:tcBorders>
                    <w:top w:val="nil"/>
                    <w:left w:val="nil"/>
                    <w:bottom w:val="nil"/>
                    <w:right w:val="nil"/>
                  </w:tcBorders>
                  <w:shd w:val="clear" w:color="auto" w:fill="auto"/>
                  <w:noWrap/>
                  <w:vAlign w:val="bottom"/>
                  <w:hideMark/>
                </w:tcPr>
                <w:p w14:paraId="37DD0908" w14:textId="77777777" w:rsidR="008A1B52" w:rsidRPr="008A1B52" w:rsidRDefault="008A1B52" w:rsidP="008A1B52">
                  <w:pPr>
                    <w:jc w:val="right"/>
                    <w:rPr>
                      <w:rFonts w:asciiTheme="minorHAnsi" w:eastAsia="Times New Roman" w:hAnsiTheme="minorHAnsi" w:cstheme="minorHAnsi"/>
                      <w:color w:val="000000"/>
                      <w:highlight w:val="yellow"/>
                    </w:rPr>
                  </w:pPr>
                  <w:r w:rsidRPr="008A1B52">
                    <w:rPr>
                      <w:rFonts w:asciiTheme="minorHAnsi" w:eastAsia="Times New Roman" w:hAnsiTheme="minorHAnsi" w:cstheme="minorHAnsi"/>
                      <w:color w:val="000000"/>
                      <w:highlight w:val="yellow"/>
                    </w:rPr>
                    <w:t>0.27</w:t>
                  </w:r>
                </w:p>
              </w:tc>
            </w:tr>
          </w:tbl>
          <w:p w14:paraId="344A0F84" w14:textId="0D11C832" w:rsidR="008A1B52" w:rsidRPr="008A1B52" w:rsidRDefault="008A1B52" w:rsidP="008A1B52">
            <w:pPr>
              <w:pStyle w:val="Standard"/>
              <w:jc w:val="center"/>
              <w:rPr>
                <w:rFonts w:asciiTheme="minorHAnsi" w:hAnsiTheme="minorHAnsi" w:cstheme="minorHAnsi"/>
                <w:highlight w:val="yellow"/>
              </w:rPr>
            </w:pPr>
          </w:p>
        </w:tc>
      </w:tr>
    </w:tbl>
    <w:bookmarkEnd w:id="29"/>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0" w:name="_Toc25250067"/>
      <w:r>
        <w:rPr>
          <w:b/>
          <w:color w:val="000000" w:themeColor="text1"/>
          <w:sz w:val="24"/>
          <w:szCs w:val="24"/>
        </w:rPr>
        <w:t>The V</w:t>
      </w:r>
      <w:r w:rsidR="006F713D" w:rsidRPr="005B66DA">
        <w:rPr>
          <w:b/>
          <w:color w:val="000000" w:themeColor="text1"/>
          <w:sz w:val="24"/>
          <w:szCs w:val="24"/>
        </w:rPr>
        <w:t>ariances</w:t>
      </w:r>
      <w:bookmarkEnd w:id="30"/>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1" w:name="_Toc25250068"/>
      <w:r w:rsidRPr="005B66DA">
        <w:rPr>
          <w:b/>
          <w:color w:val="000000" w:themeColor="text1"/>
          <w:sz w:val="24"/>
          <w:szCs w:val="24"/>
        </w:rPr>
        <w:t>COLONY</w:t>
      </w:r>
      <w:bookmarkEnd w:id="31"/>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2" w:name="_Toc25250069"/>
      <w:r w:rsidRPr="005B66DA">
        <w:rPr>
          <w:b/>
          <w:color w:val="000000" w:themeColor="text1"/>
          <w:sz w:val="24"/>
          <w:szCs w:val="24"/>
        </w:rPr>
        <w:t>Ne Estimator</w:t>
      </w:r>
      <w:bookmarkEnd w:id="32"/>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2"/>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4"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FDC89" w14:textId="77777777" w:rsidR="009F2759" w:rsidRDefault="009F2759">
      <w:r>
        <w:separator/>
      </w:r>
    </w:p>
  </w:endnote>
  <w:endnote w:type="continuationSeparator" w:id="0">
    <w:p w14:paraId="025CBEAD" w14:textId="77777777" w:rsidR="009F2759" w:rsidRDefault="009F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3F34" w14:textId="77777777" w:rsidR="009F2759" w:rsidRDefault="009F2759">
      <w:r>
        <w:separator/>
      </w:r>
    </w:p>
  </w:footnote>
  <w:footnote w:type="continuationSeparator" w:id="0">
    <w:p w14:paraId="0F664B46" w14:textId="77777777" w:rsidR="009F2759" w:rsidRDefault="009F275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707CE"/>
    <w:rsid w:val="001B2422"/>
    <w:rsid w:val="001C00AD"/>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41E77"/>
    <w:rsid w:val="003438F6"/>
    <w:rsid w:val="003574B3"/>
    <w:rsid w:val="00372A43"/>
    <w:rsid w:val="0037382A"/>
    <w:rsid w:val="00387B81"/>
    <w:rsid w:val="00390544"/>
    <w:rsid w:val="003948A5"/>
    <w:rsid w:val="0039570B"/>
    <w:rsid w:val="00396049"/>
    <w:rsid w:val="003A1A55"/>
    <w:rsid w:val="003B0F04"/>
    <w:rsid w:val="003B4362"/>
    <w:rsid w:val="003B4F38"/>
    <w:rsid w:val="003B63A4"/>
    <w:rsid w:val="003B7842"/>
    <w:rsid w:val="003E3FCD"/>
    <w:rsid w:val="00426BD9"/>
    <w:rsid w:val="00433665"/>
    <w:rsid w:val="004555BC"/>
    <w:rsid w:val="0045668E"/>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3EF7"/>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F54BF"/>
    <w:rsid w:val="007F6437"/>
    <w:rsid w:val="0080071F"/>
    <w:rsid w:val="00802CCE"/>
    <w:rsid w:val="008048F2"/>
    <w:rsid w:val="008236FD"/>
    <w:rsid w:val="0082392B"/>
    <w:rsid w:val="0082670C"/>
    <w:rsid w:val="00837046"/>
    <w:rsid w:val="008449C0"/>
    <w:rsid w:val="00852534"/>
    <w:rsid w:val="00856062"/>
    <w:rsid w:val="008613C9"/>
    <w:rsid w:val="008729FC"/>
    <w:rsid w:val="00883662"/>
    <w:rsid w:val="008878AD"/>
    <w:rsid w:val="008A1B52"/>
    <w:rsid w:val="008A545D"/>
    <w:rsid w:val="008B6513"/>
    <w:rsid w:val="008C3D5D"/>
    <w:rsid w:val="008C7B2F"/>
    <w:rsid w:val="009201FB"/>
    <w:rsid w:val="00923550"/>
    <w:rsid w:val="00934248"/>
    <w:rsid w:val="0093442F"/>
    <w:rsid w:val="00941163"/>
    <w:rsid w:val="009520E0"/>
    <w:rsid w:val="00955635"/>
    <w:rsid w:val="00965D6C"/>
    <w:rsid w:val="00971B99"/>
    <w:rsid w:val="009946DA"/>
    <w:rsid w:val="009B01DF"/>
    <w:rsid w:val="009B08AC"/>
    <w:rsid w:val="009B2031"/>
    <w:rsid w:val="009B7318"/>
    <w:rsid w:val="009D49F7"/>
    <w:rsid w:val="009D4EC0"/>
    <w:rsid w:val="009D6C74"/>
    <w:rsid w:val="009E6217"/>
    <w:rsid w:val="009F2759"/>
    <w:rsid w:val="00A538C0"/>
    <w:rsid w:val="00A64675"/>
    <w:rsid w:val="00A739C3"/>
    <w:rsid w:val="00A8188A"/>
    <w:rsid w:val="00A9063E"/>
    <w:rsid w:val="00AA3854"/>
    <w:rsid w:val="00AA490E"/>
    <w:rsid w:val="00AB4F09"/>
    <w:rsid w:val="00AC151E"/>
    <w:rsid w:val="00AC6E6B"/>
    <w:rsid w:val="00AD0467"/>
    <w:rsid w:val="00AD40D9"/>
    <w:rsid w:val="00AE0D9B"/>
    <w:rsid w:val="00AE0F27"/>
    <w:rsid w:val="00AE5E0F"/>
    <w:rsid w:val="00AF4B07"/>
    <w:rsid w:val="00B129C2"/>
    <w:rsid w:val="00B62ED7"/>
    <w:rsid w:val="00B670E6"/>
    <w:rsid w:val="00B75E64"/>
    <w:rsid w:val="00B77B18"/>
    <w:rsid w:val="00B935B8"/>
    <w:rsid w:val="00B97EE2"/>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B7C60"/>
    <w:rsid w:val="00CC4208"/>
    <w:rsid w:val="00CC47B2"/>
    <w:rsid w:val="00CE1B6B"/>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41F1C"/>
    <w:rsid w:val="00E736C2"/>
    <w:rsid w:val="00E73F31"/>
    <w:rsid w:val="00E85545"/>
    <w:rsid w:val="00E86E95"/>
    <w:rsid w:val="00EA1234"/>
    <w:rsid w:val="00EA32B5"/>
    <w:rsid w:val="00ED2A0B"/>
    <w:rsid w:val="00EF2890"/>
    <w:rsid w:val="00EF3858"/>
    <w:rsid w:val="00F3170E"/>
    <w:rsid w:val="00F41D2C"/>
    <w:rsid w:val="00F428D7"/>
    <w:rsid w:val="00F4323C"/>
    <w:rsid w:val="00F55D9E"/>
    <w:rsid w:val="00F5687C"/>
    <w:rsid w:val="00F62751"/>
    <w:rsid w:val="00F7559C"/>
    <w:rsid w:val="00F808E2"/>
    <w:rsid w:val="00F81030"/>
    <w:rsid w:val="00F92635"/>
    <w:rsid w:val="00F9297F"/>
    <w:rsid w:val="00FA5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DAVENPORTD\Downloads\10.5281\zenodo.10172611"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37</Pages>
  <Words>21472</Words>
  <Characters>122395</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11</cp:revision>
  <cp:lastPrinted>2020-09-23T14:57:00Z</cp:lastPrinted>
  <dcterms:created xsi:type="dcterms:W3CDTF">2024-05-23T02:28:00Z</dcterms:created>
  <dcterms:modified xsi:type="dcterms:W3CDTF">2024-05-27T23:54:00Z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