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22A9A0A4"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DB19EF">
        <w:t xml:space="preserve">and ranged </w:t>
      </w:r>
      <w:r w:rsidR="00F92635" w:rsidRPr="00DB19EF">
        <w:t>between</w:t>
      </w:r>
      <m:oMath>
        <m:r>
          <w:rPr>
            <w:rFonts w:ascii="Cambria Math" w:hAnsi="Cambria Math"/>
          </w:rPr>
          <m:t xml:space="preserve"> </m:t>
        </m:r>
      </m:oMath>
      <w:r w:rsidR="00F92635" w:rsidRPr="008729FC">
        <w:rPr>
          <w:highlight w:val="yellow"/>
        </w:rPr>
        <w:t>(</w:t>
      </w:r>
      <w:r w:rsidR="00AE0F27" w:rsidRPr="008729FC">
        <w:rPr>
          <w:highlight w:val="yellow"/>
        </w:rPr>
        <w:t>SD</w:t>
      </w:r>
      <w:r w:rsidR="00F92635" w:rsidRPr="008729FC">
        <w:rPr>
          <w:highlight w:val="yellow"/>
        </w:rPr>
        <w:t>±) and</w:t>
      </w:r>
      <m:oMath>
        <m:r>
          <w:rPr>
            <w:rFonts w:ascii="Cambria Math" w:hAnsi="Cambria Math"/>
            <w:highlight w:val="yellow"/>
          </w:rPr>
          <m:t xml:space="preserve"> </m:t>
        </m:r>
      </m:oMath>
      <w:r w:rsidR="00F92635" w:rsidRPr="008729FC">
        <w:rPr>
          <w:highlight w:val="yellow"/>
        </w:rPr>
        <w:t>(</w:t>
      </w:r>
      <w:r w:rsidR="00AE0F27" w:rsidRPr="008729FC">
        <w:rPr>
          <w:highlight w:val="yellow"/>
        </w:rPr>
        <w:t>SD</w:t>
      </w:r>
      <w:r w:rsidR="00F92635" w:rsidRPr="008729FC">
        <w:rPr>
          <w:highlight w:val="yellow"/>
        </w:rPr>
        <w:t>±)</w:t>
      </w:r>
      <w:r w:rsidR="009B2031">
        <w:t xml:space="preserve"> per year </w:t>
      </w:r>
      <w:r w:rsidR="00F92635" w:rsidRPr="00DB19EF">
        <w:t xml:space="preserve">using a combined estimate of </w:t>
      </w:r>
      <m:oMath>
        <m:r>
          <w:rPr>
            <w:rFonts w:ascii="Cambria Math" w:hAnsi="Cambria Math"/>
          </w:rPr>
          <m:t>Nb</m:t>
        </m:r>
        <m:d>
          <m:dPr>
            <m:ctrlPr>
              <w:rPr>
                <w:rFonts w:ascii="Cambria Math" w:hAnsi="Cambria Math"/>
                <w:i/>
              </w:rPr>
            </m:ctrlPr>
          </m:dPr>
          <m:e>
            <m:r>
              <w:rPr>
                <w:rFonts w:ascii="Cambria Math" w:hAnsi="Cambria Math"/>
              </w:rPr>
              <m:t>LD+SA</m:t>
            </m:r>
          </m:e>
        </m:d>
      </m:oMath>
      <w:r w:rsidR="00F92635" w:rsidRPr="00DB19EF">
        <w:t xml:space="preserve"> </w:t>
      </w:r>
      <w:r w:rsidR="00F92635" w:rsidRPr="008729FC">
        <w:t>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time to provide insight into the effectiveness of recovery and conservation </w:t>
      </w:r>
      <w:r w:rsidR="008729FC" w:rsidRPr="008729FC">
        <w:lastRenderedPageBreak/>
        <w:t>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6DC2EC91"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dartr</w:t>
      </w:r>
      <w:proofErr w:type="spellEnd"/>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greater than 20%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2F75A0">
        <w:t>greater</w:t>
      </w:r>
      <w:r w:rsidRPr="00DB19EF">
        <w:t xml:space="preserve"> than or equal to </w:t>
      </w:r>
      <w:r w:rsidR="00F9297F" w:rsidRPr="00DB19EF">
        <w:t xml:space="preserve">+ </w:t>
      </w:r>
      <w:r w:rsidRPr="00DB19EF">
        <w:t xml:space="preserve">0.5 </w:t>
      </w:r>
      <w:r w:rsidR="002F75A0">
        <w:t>or less</w:t>
      </w:r>
      <w:r w:rsidRPr="00DB19EF">
        <w:t xml:space="preserve"> than </w:t>
      </w:r>
      <w:r w:rsidR="00F9297F" w:rsidRPr="00DB19EF">
        <w:t xml:space="preserve">- </w:t>
      </w:r>
      <w:r w:rsidRPr="00DB19EF">
        <w:t xml:space="preserve">0.5 (see Table S3.2, Supplementary Materials 3). Dataset-2 was then used to make estimates of </w:t>
      </w:r>
      <w:r w:rsidRPr="00DB19EF">
        <w:rPr>
          <w:i/>
        </w:rPr>
        <w:t>Nb</w:t>
      </w:r>
      <w:r w:rsidRPr="00DB19EF">
        <w:t>.</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lastRenderedPageBreak/>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2009) determines the size of the parental generation by estimating the probability that dyad </w:t>
      </w:r>
      <w:r w:rsidRPr="00DB19EF">
        <w:lastRenderedPageBreak/>
        <w:t xml:space="preserve">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w:t>
      </w:r>
      <w:r w:rsidRPr="00DB19EF">
        <w:lastRenderedPageBreak/>
        <w:t xml:space="preserve">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xml:space="preserve">= 43, 207 cm and 276 cm FL), </w:t>
      </w:r>
      <w:r w:rsidRPr="00DB19EF">
        <w:lastRenderedPageBreak/>
        <w:t>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15C22147"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E73F31">
        <w:rPr>
          <w:rFonts w:asciiTheme="minorHAnsi" w:hAnsiTheme="minorHAnsi" w:cstheme="minorHAnsi"/>
          <w:highlight w:val="yellow"/>
        </w:rPr>
        <w:t>4253</w:t>
      </w:r>
      <w:r w:rsidR="008729FC" w:rsidRPr="004E664E">
        <w:t xml:space="preserve"> </w:t>
      </w:r>
      <w:r w:rsidRPr="004E664E">
        <w:t>diallelic</w:t>
      </w:r>
      <w:r w:rsidRPr="00DB19EF">
        <w:t xml:space="preserve"> SNPs consisting of </w:t>
      </w:r>
      <w:r w:rsidRPr="008729FC">
        <w:rPr>
          <w:highlight w:val="yellow"/>
        </w:rPr>
        <w:t>23</w:t>
      </w:r>
      <w:r w:rsidR="00E73F31">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2A87D9F6" w:rsidR="001235D3" w:rsidRPr="008729FC" w:rsidRDefault="001235D3" w:rsidP="001235D3">
      <w:pPr>
        <w:pStyle w:val="Standard"/>
        <w:spacing w:after="280" w:line="480" w:lineRule="auto"/>
        <w:jc w:val="both"/>
        <w:rPr>
          <w:u w:val="single"/>
        </w:rPr>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lastRenderedPageBreak/>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75FB0F7F"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r w:rsidR="00CA2250" w:rsidRPr="008A545D">
        <w:rPr>
          <w:highlight w:val="yellow"/>
        </w:rPr>
        <w:t>2010,</w:t>
      </w:r>
      <w:r w:rsidRPr="008A545D">
        <w:rPr>
          <w:highlight w:val="yellow"/>
        </w:rPr>
        <w:t xml:space="preserve">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2010</m:t>
                </m:r>
              </m:sub>
            </m:sSub>
          </m:e>
        </m:d>
        <m:r>
          <w:rPr>
            <w:rFonts w:ascii="Cambria Math" w:hAnsi="Cambria Math"/>
            <w:highlight w:val="yellow"/>
          </w:rPr>
          <m:t>=</m:t>
        </m:r>
        <m:r>
          <w:rPr>
            <w:rFonts w:ascii="Cambria Math" w:hAnsi="Cambria Math"/>
            <w:highlight w:val="yellow"/>
          </w:rPr>
          <m:t>81.61</m:t>
        </m:r>
        <m:d>
          <m:dPr>
            <m:ctrlPr>
              <w:rPr>
                <w:rFonts w:ascii="Cambria Math" w:hAnsi="Cambria Math"/>
                <w:i/>
                <w:highlight w:val="yellow"/>
              </w:rPr>
            </m:ctrlPr>
          </m:dPr>
          <m:e>
            <m:r>
              <w:rPr>
                <w:rFonts w:ascii="Cambria Math" w:hAnsi="Cambria Math"/>
                <w:highlight w:val="yellow"/>
              </w:rPr>
              <m:t>2</m:t>
            </m:r>
            <m:r>
              <w:rPr>
                <w:rFonts w:ascii="Cambria Math" w:hAnsi="Cambria Math"/>
                <w:highlight w:val="yellow"/>
              </w:rPr>
              <m:t>2.42</m:t>
            </m:r>
            <m:r>
              <w:rPr>
                <w:rFonts w:ascii="Cambria Math" w:hAnsi="Cambria Math"/>
                <w:highlight w:val="yellow"/>
              </w:rPr>
              <m:t xml:space="preserve"> SD</m:t>
            </m:r>
          </m:e>
        </m:d>
        <m:r>
          <w:rPr>
            <w:rFonts w:ascii="Cambria Math" w:hAnsi="Cambria Math"/>
            <w:highlight w:val="yellow"/>
          </w:rPr>
          <m:t>,</m:t>
        </m:r>
      </m:oMath>
      <w:r w:rsidRPr="008A545D">
        <w:rPr>
          <w:highlight w:val="yellow"/>
        </w:rPr>
        <w:t xml:space="preserve"> to the largest in 201</w:t>
      </w:r>
      <w:r w:rsidR="00CA2250" w:rsidRPr="008A545D">
        <w:rPr>
          <w:highlight w:val="yellow"/>
        </w:rPr>
        <w:t>1</w:t>
      </w:r>
      <w:r w:rsidRPr="008A545D">
        <w:rPr>
          <w:highlight w:val="yellow"/>
        </w:rPr>
        <w:t xml:space="preserve">, </w:t>
      </w:r>
      <m:oMath>
        <m:r>
          <w:rPr>
            <w:rFonts w:ascii="Cambria Math" w:hAnsi="Cambria Math"/>
            <w:highlight w:val="yellow"/>
          </w:rPr>
          <m:t>Nb(LD+</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2011</m:t>
            </m:r>
          </m:sub>
        </m:sSub>
        <m:r>
          <w:rPr>
            <w:rFonts w:ascii="Cambria Math" w:hAnsi="Cambria Math"/>
            <w:highlight w:val="yellow"/>
          </w:rPr>
          <m:t>)=</m:t>
        </m:r>
        <m:r>
          <w:rPr>
            <w:rFonts w:ascii="Cambria Math" w:hAnsi="Cambria Math"/>
            <w:highlight w:val="yellow"/>
          </w:rPr>
          <m:t>220.12</m:t>
        </m:r>
        <m:r>
          <w:rPr>
            <w:rFonts w:ascii="Cambria Math" w:hAnsi="Cambria Math"/>
            <w:highlight w:val="yellow"/>
          </w:rPr>
          <m:t>(</m:t>
        </m:r>
        <m:r>
          <w:rPr>
            <w:rFonts w:ascii="Cambria Math" w:hAnsi="Cambria Math"/>
            <w:highlight w:val="yellow"/>
          </w:rPr>
          <m:t>50.09</m:t>
        </m:r>
        <m:r>
          <w:rPr>
            <w:rFonts w:ascii="Cambria Math" w:hAnsi="Cambria Math"/>
            <w:highlight w:val="yellow"/>
          </w:rPr>
          <m:t xml:space="preserve"> SD)</m:t>
        </m:r>
      </m:oMath>
      <w:r w:rsidRPr="008A545D">
        <w:rPr>
          <w:highlight w:val="yellow"/>
        </w:rPr>
        <w:t xml:space="preserve"> (Table 1). The inferred ratio of </w:t>
      </w:r>
      <m:oMath>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oMath>
      <w:r w:rsidRPr="008A545D">
        <w:rPr>
          <w:highlight w:val="yellow"/>
        </w:rPr>
        <w:t xml:space="preserve"> ranged from </w:t>
      </w:r>
      <m:oMath>
        <m:sSub>
          <m:sSubPr>
            <m:ctrlPr>
              <w:rPr>
                <w:rFonts w:ascii="Cambria Math" w:hAnsi="Cambria Math"/>
                <w:highlight w:val="yellow"/>
              </w:rPr>
            </m:ctrlPr>
          </m:sSubPr>
          <m:e>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e>
          <m:sub>
            <m:r>
              <w:rPr>
                <w:rFonts w:ascii="Cambria Math" w:hAnsi="Cambria Math"/>
                <w:highlight w:val="yellow"/>
              </w:rPr>
              <m:t>2010</m:t>
            </m:r>
          </m:sub>
        </m:sSub>
      </m:oMath>
      <w:r w:rsidRPr="008A545D">
        <w:rPr>
          <w:highlight w:val="yellow"/>
        </w:rPr>
        <w:t xml:space="preserve"> = </w:t>
      </w:r>
      <w:r w:rsidR="008A545D" w:rsidRPr="008A545D">
        <w:rPr>
          <w:highlight w:val="yellow"/>
        </w:rPr>
        <w:t xml:space="preserve">0.11 to </w:t>
      </w:r>
      <w:r w:rsidRPr="008A545D">
        <w:rPr>
          <w:highlight w:val="yellow"/>
        </w:rPr>
        <w:t xml:space="preserve"> </w:t>
      </w:r>
      <m:oMath>
        <m:sSub>
          <m:sSubPr>
            <m:ctrlPr>
              <w:rPr>
                <w:rFonts w:ascii="Cambria Math" w:hAnsi="Cambria Math"/>
                <w:highlight w:val="yellow"/>
              </w:rPr>
            </m:ctrlPr>
          </m:sSubPr>
          <m:e>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e>
          <m:sub>
            <m:r>
              <w:rPr>
                <w:rFonts w:ascii="Cambria Math" w:hAnsi="Cambria Math"/>
                <w:highlight w:val="yellow"/>
              </w:rPr>
              <m:t>2011</m:t>
            </m:r>
          </m:sub>
        </m:sSub>
      </m:oMath>
      <w:r w:rsidRPr="008A545D">
        <w:rPr>
          <w:highlight w:val="yellow"/>
        </w:rPr>
        <w:t xml:space="preserve"> =</w:t>
      </w:r>
      <w:bookmarkEnd w:id="21"/>
      <w:r w:rsidR="008A545D" w:rsidRPr="008A545D">
        <w:rPr>
          <w:highlight w:val="yellow"/>
        </w:rPr>
        <w:t xml:space="preserve"> 0.3, </w:t>
      </w:r>
      <w:r w:rsidRPr="008A545D">
        <w:rPr>
          <w:highlight w:val="yellow"/>
        </w:rPr>
        <w:t xml:space="preserve"> calculated using estimates of </w:t>
      </w:r>
      <m:oMath>
        <m:r>
          <w:rPr>
            <w:rFonts w:ascii="Cambria Math" w:hAnsi="Cambria Math"/>
            <w:highlight w:val="yellow"/>
          </w:rPr>
          <m:t xml:space="preserve">Na </m:t>
        </m:r>
      </m:oMath>
      <w:r w:rsidRPr="008A545D">
        <w:rPr>
          <w:highlight w:val="yellow"/>
        </w:rPr>
        <w:t>from Bruce et al., (2018).</w:t>
      </w:r>
      <w:bookmarkEnd w:id="22"/>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lastRenderedPageBreak/>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w:t>
      </w:r>
      <w:r w:rsidRPr="004D1991">
        <w:rPr>
          <w:rFonts w:asciiTheme="minorHAnsi" w:hAnsiTheme="minorHAnsi" w:cstheme="minorHAnsi"/>
          <w:lang w:val="en-US" w:eastAsia="en-US"/>
        </w:rPr>
        <w:lastRenderedPageBreak/>
        <w:t xml:space="preserve">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(Ackerman et al., 2017; Wang, 2009) which have demonstrated that false sibships (type I errors) </w:t>
      </w:r>
      <w:r w:rsidRPr="004D1991">
        <w:rPr>
          <w:rFonts w:asciiTheme="minorHAnsi" w:hAnsiTheme="minorHAnsi" w:cstheme="minorHAnsi"/>
          <w:lang w:val="en-US" w:eastAsia="en-US"/>
        </w:rPr>
        <w:lastRenderedPageBreak/>
        <w:t xml:space="preserve">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rPr>
          <m:t>Nb</m:t>
        </m:r>
      </m:oMath>
      <w:r w:rsidRPr="004D1991">
        <w:rPr>
          <w:rFonts w:asciiTheme="minorHAnsi" w:hAnsiTheme="minorHAnsi" w:cstheme="minorHAnsi"/>
          <w:lang w:val="en-US" w:eastAsia="en-US"/>
        </w:rPr>
        <w:t xml:space="preserve"> estimated using SNPs differed between </w:t>
      </w:r>
      <w:commentRangeStart w:id="24"/>
      <w:r w:rsidRPr="004D1991">
        <w:rPr>
          <w:rFonts w:asciiTheme="minorHAnsi" w:hAnsiTheme="minorHAnsi" w:cstheme="minorHAnsi"/>
          <w:lang w:val="en-US" w:eastAsia="en-US"/>
        </w:rPr>
        <w:t>methods</w:t>
      </w:r>
      <w:commentRangeEnd w:id="24"/>
      <w:r w:rsidR="008A545D">
        <w:rPr>
          <w:rStyle w:val="CommentReference"/>
          <w:rFonts w:ascii="Calibri" w:eastAsia="Linux Libertine G" w:hAnsi="Calibri" w:cs="Mangal"/>
          <w:lang w:eastAsia="zh-CN" w:bidi="hi-IN"/>
        </w:rPr>
        <w:commentReference w:id="24"/>
      </w:r>
      <w:r w:rsidRPr="004D1991">
        <w:rPr>
          <w:rFonts w:asciiTheme="minorHAnsi" w:hAnsiTheme="minorHAnsi" w:cstheme="minorHAnsi"/>
          <w:lang w:val="en-US" w:eastAsia="en-US"/>
        </w:rPr>
        <w:t xml:space="preserve">, although differences were not significant having overlapping </w:t>
      </w:r>
      <w:r w:rsidR="008729FC">
        <w:rPr>
          <w:rFonts w:asciiTheme="minorHAnsi" w:hAnsiTheme="minorHAnsi" w:cstheme="minorHAnsi"/>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(Hedgecock, 1994). In contrast, when ratios are &lt; 1, we can infer there is some deviation from the </w:t>
      </w:r>
      <w:r w:rsidRPr="007113F2">
        <w:rPr>
          <w:rFonts w:asciiTheme="minorHAnsi" w:hAnsiTheme="minorHAnsi" w:cstheme="minorHAnsi"/>
          <w:color w:val="000000" w:themeColor="text1"/>
          <w:lang w:val="en-US" w:eastAsia="en-US"/>
        </w:rPr>
        <w:lastRenderedPageBreak/>
        <w:t>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Pr="007113F2" w:rsidRDefault="004D1991" w:rsidP="008729FC">
      <w:pPr>
        <w:spacing w:line="480" w:lineRule="auto"/>
        <w:ind w:firstLine="720"/>
        <w:jc w:val="both"/>
        <w:rPr>
          <w:rFonts w:asciiTheme="minorHAnsi" w:eastAsiaTheme="minorEastAsia" w:hAnsiTheme="minorHAnsi" w:cstheme="minorHAnsi"/>
          <w:color w:val="000000" w:themeColor="text1"/>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w:t>
      </w:r>
      <w:r w:rsidRPr="007113F2">
        <w:rPr>
          <w:rFonts w:asciiTheme="minorHAnsi" w:hAnsiTheme="minorHAnsi" w:cstheme="minorHAnsi"/>
          <w:color w:val="000000" w:themeColor="text1"/>
          <w:lang w:val="en-US" w:eastAsia="en-US"/>
        </w:rPr>
        <w:lastRenderedPageBreak/>
        <w:t xml:space="preserve">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2015). Given this, together with the lack of evidence from other studies to date of an expected </w:t>
      </w:r>
      <w:r w:rsidRPr="007113F2">
        <w:rPr>
          <w:rFonts w:asciiTheme="minorHAnsi" w:hAnsiTheme="minorHAnsi" w:cstheme="minorHAnsi"/>
          <w:color w:val="000000" w:themeColor="text1"/>
          <w:lang w:val="en-US" w:eastAsia="en-US"/>
        </w:rPr>
        <w:lastRenderedPageBreak/>
        <w:t>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w:t>
      </w:r>
      <w:r w:rsidRPr="008729FC">
        <w:rPr>
          <w:rFonts w:asciiTheme="minorHAnsi" w:hAnsiTheme="minorHAnsi" w:cstheme="minorHAnsi"/>
          <w:lang w:val="en-US" w:eastAsia="en-US"/>
        </w:rPr>
        <w:lastRenderedPageBreak/>
        <w:t xml:space="preserve">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1235D3"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16C881DE"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63.7(38.7, 2359.4)</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156A0734"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color w:val="000000" w:themeColor="text1"/>
                <w:highlight w:val="yellow"/>
              </w:rPr>
              <w:t>212.6 (98.8, 477.6)</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501998AE"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202.6 (101.3, 239.7)</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54AB8F4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 xml:space="preserve">181.5 (127.9, 358.6) </w:t>
            </w:r>
          </w:p>
        </w:tc>
      </w:tr>
      <w:tr w:rsidR="001235D3"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2E76FF3" w14:textId="71096B18" w:rsidR="001235D3" w:rsidRPr="00731EEE" w:rsidRDefault="008048F2"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96 (58, 188)[7,3]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486B6886" w:rsidR="001235D3" w:rsidRPr="00731EEE" w:rsidRDefault="008048F2"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228(137,528)[4,5]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44D5EE4B" w:rsidR="001235D3" w:rsidRPr="00731EEE" w:rsidRDefault="008048F2"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204(139,361)[8,16]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BE56AD3" w:rsidR="001235D3" w:rsidRPr="00731EEE" w:rsidRDefault="008048F2"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159(114,232)[16,21]</w:t>
            </w:r>
          </w:p>
        </w:tc>
      </w:tr>
      <w:tr w:rsidR="001235D3"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235D3" w:rsidRPr="008729FC" w:rsidRDefault="00000000" w:rsidP="00971B99">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466C050C" w:rsidR="001235D3" w:rsidRPr="00731EEE" w:rsidRDefault="008048F2" w:rsidP="00CA2168">
            <w:pPr>
              <w:pStyle w:val="Standard"/>
              <w:jc w:val="center"/>
              <w:rPr>
                <w:rFonts w:asciiTheme="minorHAnsi" w:eastAsia="Times New Roman" w:hAnsiTheme="minorHAnsi" w:cstheme="minorHAnsi"/>
                <w:highlight w:val="yellow"/>
              </w:rPr>
            </w:pPr>
            <w:r w:rsidRPr="00731EEE">
              <w:rPr>
                <w:rFonts w:asciiTheme="minorHAnsi" w:eastAsia="Times New Roman" w:hAnsiTheme="minorHAnsi" w:cstheme="minorHAnsi"/>
                <w:highlight w:val="yellow"/>
              </w:rPr>
              <w:t>81.6</w:t>
            </w:r>
            <w:r w:rsidRPr="00731EEE">
              <w:rPr>
                <w:rFonts w:asciiTheme="minorHAnsi" w:eastAsia="Times New Roman" w:hAnsiTheme="minorHAnsi" w:cstheme="minorHAnsi"/>
                <w:highlight w:val="yellow"/>
              </w:rPr>
              <w:t>1(22.42)</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06D55783" w:rsidR="001235D3" w:rsidRPr="00731EEE" w:rsidRDefault="008048F2" w:rsidP="00971B99">
            <w:pPr>
              <w:pStyle w:val="Standard"/>
              <w:jc w:val="center"/>
              <w:rPr>
                <w:rFonts w:asciiTheme="minorHAnsi" w:eastAsia="Times New Roman" w:hAnsiTheme="minorHAnsi" w:cstheme="minorHAnsi"/>
                <w:highlight w:val="yellow"/>
              </w:rPr>
            </w:pPr>
            <w:r w:rsidRPr="00731EEE">
              <w:rPr>
                <w:rFonts w:asciiTheme="minorHAnsi" w:eastAsia="Times New Roman" w:hAnsiTheme="minorHAnsi" w:cstheme="minorHAnsi"/>
                <w:highlight w:val="yellow"/>
              </w:rPr>
              <w:t>220.12(50.09)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5DA57A0C" w:rsidR="001235D3" w:rsidRPr="00731EEE" w:rsidRDefault="008048F2" w:rsidP="00971B99">
            <w:pPr>
              <w:pStyle w:val="Standard"/>
              <w:jc w:val="center"/>
              <w:rPr>
                <w:rFonts w:asciiTheme="minorHAnsi" w:eastAsia="Times New Roman" w:hAnsiTheme="minorHAnsi" w:cstheme="minorHAnsi"/>
                <w:highlight w:val="yellow"/>
              </w:rPr>
            </w:pPr>
            <w:r w:rsidRPr="00731EEE">
              <w:rPr>
                <w:rFonts w:asciiTheme="minorHAnsi" w:eastAsia="Times New Roman" w:hAnsiTheme="minorHAnsi" w:cstheme="minorHAnsi"/>
                <w:highlight w:val="yellow"/>
              </w:rPr>
              <w:t>203.5(36.77)</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0AF703C9" w:rsidR="001235D3" w:rsidRPr="00731EEE" w:rsidRDefault="008048F2" w:rsidP="00971B99">
            <w:pPr>
              <w:pStyle w:val="Standard"/>
              <w:jc w:val="center"/>
              <w:rPr>
                <w:rFonts w:asciiTheme="minorHAnsi" w:eastAsia="Times New Roman" w:hAnsiTheme="minorHAnsi" w:cstheme="minorHAnsi"/>
                <w:highlight w:val="yellow"/>
              </w:rPr>
            </w:pPr>
            <w:r w:rsidRPr="00731EEE">
              <w:rPr>
                <w:rFonts w:asciiTheme="minorHAnsi" w:eastAsia="Times New Roman" w:hAnsiTheme="minorHAnsi" w:cstheme="minorHAnsi"/>
                <w:highlight w:val="yellow"/>
              </w:rPr>
              <w:t>161.2(26.8)</w:t>
            </w:r>
          </w:p>
        </w:tc>
      </w:tr>
      <w:tr w:rsidR="00955635"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955635" w:rsidRPr="00DB19EF" w:rsidRDefault="00955635" w:rsidP="00955635">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955635" w:rsidRPr="00720D84" w:rsidRDefault="00955635" w:rsidP="00955635">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955635" w:rsidRPr="00090291" w14:paraId="7217212A" w14:textId="77777777" w:rsidTr="004B2F2E">
              <w:trPr>
                <w:trHeight w:val="290"/>
              </w:trPr>
              <w:tc>
                <w:tcPr>
                  <w:tcW w:w="960" w:type="dxa"/>
                  <w:tcBorders>
                    <w:top w:val="nil"/>
                    <w:left w:val="nil"/>
                    <w:bottom w:val="nil"/>
                    <w:right w:val="nil"/>
                  </w:tcBorders>
                  <w:shd w:val="clear" w:color="auto" w:fill="auto"/>
                  <w:noWrap/>
                  <w:vAlign w:val="bottom"/>
                  <w:hideMark/>
                </w:tcPr>
                <w:p w14:paraId="13745CC1" w14:textId="77777777" w:rsidR="00955635" w:rsidRPr="00090291" w:rsidRDefault="00955635" w:rsidP="00955635">
                  <w:pPr>
                    <w:jc w:val="right"/>
                    <w:rPr>
                      <w:rFonts w:asciiTheme="minorHAnsi" w:eastAsia="Times New Roman" w:hAnsiTheme="minorHAnsi" w:cstheme="minorHAnsi"/>
                      <w:color w:val="000000"/>
                      <w:highlight w:val="yellow"/>
                    </w:rPr>
                  </w:pPr>
                  <w:r w:rsidRPr="00090291">
                    <w:rPr>
                      <w:rFonts w:asciiTheme="minorHAnsi" w:eastAsia="Times New Roman" w:hAnsiTheme="minorHAnsi" w:cstheme="minorHAnsi"/>
                      <w:color w:val="000000"/>
                      <w:highlight w:val="yellow"/>
                    </w:rPr>
                    <w:t>0.1</w:t>
                  </w:r>
                  <w:r w:rsidRPr="00731EEE">
                    <w:rPr>
                      <w:rFonts w:asciiTheme="minorHAnsi" w:eastAsia="Times New Roman" w:hAnsiTheme="minorHAnsi" w:cstheme="minorHAnsi"/>
                      <w:color w:val="000000"/>
                      <w:highlight w:val="yellow"/>
                    </w:rPr>
                    <w:t>1</w:t>
                  </w:r>
                </w:p>
              </w:tc>
            </w:tr>
          </w:tbl>
          <w:p w14:paraId="6B392C02" w14:textId="00CD82BD" w:rsidR="00955635" w:rsidRPr="00731EEE" w:rsidRDefault="00955635" w:rsidP="00955635">
            <w:pPr>
              <w:pStyle w:val="Standard"/>
              <w:jc w:val="center"/>
              <w:rPr>
                <w:rFonts w:asciiTheme="minorHAnsi" w:hAnsiTheme="minorHAnsi" w:cstheme="minorHAnsi"/>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C604C47" w:rsidR="00955635" w:rsidRPr="00731EEE" w:rsidRDefault="00955635" w:rsidP="00955635">
            <w:pPr>
              <w:pStyle w:val="Standard"/>
              <w:jc w:val="center"/>
              <w:rPr>
                <w:rFonts w:asciiTheme="minorHAnsi" w:hAnsiTheme="minorHAnsi" w:cstheme="minorHAnsi"/>
                <w:highlight w:val="yellow"/>
              </w:rPr>
            </w:pPr>
            <w:r w:rsidRPr="00090291">
              <w:rPr>
                <w:rFonts w:asciiTheme="minorHAnsi" w:eastAsia="Times New Roman" w:hAnsiTheme="minorHAnsi" w:cstheme="minorHAnsi"/>
                <w:color w:val="000000"/>
                <w:highlight w:val="yellow"/>
              </w:rPr>
              <w:t>0.</w:t>
            </w:r>
            <w:r w:rsidRPr="00731EEE">
              <w:rPr>
                <w:rFonts w:asciiTheme="minorHAnsi" w:eastAsia="Times New Roman" w:hAnsiTheme="minorHAnsi" w:cstheme="minorHAnsi"/>
                <w:color w:val="000000"/>
                <w:highlight w:val="yellow"/>
              </w:rPr>
              <w:t>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155B4219" w:rsidR="00955635" w:rsidRPr="00731EEE" w:rsidRDefault="00955635" w:rsidP="00955635">
            <w:pPr>
              <w:pStyle w:val="Standard"/>
              <w:jc w:val="center"/>
              <w:rPr>
                <w:rFonts w:asciiTheme="minorHAnsi" w:hAnsiTheme="minorHAnsi" w:cstheme="minorHAnsi"/>
                <w:highlight w:val="yellow"/>
              </w:rPr>
            </w:pPr>
            <w:r w:rsidRPr="00090291">
              <w:rPr>
                <w:rFonts w:asciiTheme="minorHAnsi" w:eastAsia="Times New Roman" w:hAnsiTheme="minorHAnsi" w:cstheme="minorHAnsi"/>
                <w:color w:val="000000"/>
                <w:highlight w:val="yellow"/>
              </w:rPr>
              <w:t>0.27</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955635" w:rsidRPr="00731EEE" w14:paraId="42B083E6" w14:textId="77777777" w:rsidTr="004B2F2E">
              <w:trPr>
                <w:trHeight w:val="290"/>
              </w:trPr>
              <w:tc>
                <w:tcPr>
                  <w:tcW w:w="960" w:type="dxa"/>
                  <w:tcBorders>
                    <w:top w:val="nil"/>
                    <w:left w:val="nil"/>
                    <w:bottom w:val="nil"/>
                    <w:right w:val="nil"/>
                  </w:tcBorders>
                  <w:shd w:val="clear" w:color="auto" w:fill="auto"/>
                  <w:noWrap/>
                  <w:vAlign w:val="bottom"/>
                  <w:hideMark/>
                </w:tcPr>
                <w:p w14:paraId="690367C3" w14:textId="77777777" w:rsidR="00955635" w:rsidRPr="00090291" w:rsidRDefault="00955635" w:rsidP="00955635">
                  <w:pPr>
                    <w:jc w:val="right"/>
                    <w:rPr>
                      <w:rFonts w:asciiTheme="minorHAnsi" w:eastAsia="Times New Roman" w:hAnsiTheme="minorHAnsi" w:cstheme="minorHAnsi"/>
                      <w:color w:val="000000"/>
                      <w:highlight w:val="yellow"/>
                    </w:rPr>
                  </w:pPr>
                  <w:r w:rsidRPr="00090291">
                    <w:rPr>
                      <w:rFonts w:asciiTheme="minorHAnsi" w:eastAsia="Times New Roman" w:hAnsiTheme="minorHAnsi" w:cstheme="minorHAnsi"/>
                      <w:color w:val="000000"/>
                      <w:highlight w:val="yellow"/>
                    </w:rPr>
                    <w:t>0.21</w:t>
                  </w:r>
                  <w:r w:rsidRPr="00731EEE">
                    <w:rPr>
                      <w:rFonts w:asciiTheme="minorHAnsi" w:eastAsia="Times New Roman" w:hAnsiTheme="minorHAnsi" w:cstheme="minorHAnsi"/>
                      <w:color w:val="000000"/>
                      <w:highlight w:val="yellow"/>
                    </w:rPr>
                    <w:t>5</w:t>
                  </w:r>
                </w:p>
              </w:tc>
            </w:tr>
          </w:tbl>
          <w:p w14:paraId="344A0F84" w14:textId="0D11C832" w:rsidR="00955635" w:rsidRPr="00731EEE" w:rsidRDefault="00955635" w:rsidP="00955635">
            <w:pPr>
              <w:pStyle w:val="Standard"/>
              <w:jc w:val="center"/>
              <w:rPr>
                <w:rFonts w:asciiTheme="minorHAnsi" w:hAnsiTheme="minorHAnsi" w:cstheme="minorHAnsi"/>
                <w:highlight w:val="yellow"/>
              </w:rPr>
            </w:pP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1D5AE721" w:rsidR="008A545D" w:rsidRDefault="008A545D" w:rsidP="005D4C76">
      <w:pPr>
        <w:pStyle w:val="CommentText"/>
      </w:pPr>
      <w:r>
        <w:rPr>
          <w:rStyle w:val="CommentReference"/>
        </w:rPr>
        <w:annotationRef/>
      </w:r>
      <w:r>
        <w:t xml:space="preserve">Test " such that </w:t>
      </w:r>
      <w:r>
        <w:rPr>
          <w:noProof/>
        </w:rPr>
        <w:drawing>
          <wp:inline distT="0" distB="0" distL="0" distR="0" wp14:anchorId="436197BB" wp14:editId="298DF4B4">
            <wp:extent cx="514376" cy="177809"/>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t xml:space="preserve"> was lower compared to</w:t>
      </w:r>
      <w:r>
        <w:rPr>
          <w:i/>
          <w:iCs/>
        </w:rPr>
        <w:t xml:space="preserve"> </w:t>
      </w:r>
      <w:r>
        <w:rPr>
          <w:noProof/>
        </w:rPr>
        <w:drawing>
          <wp:inline distT="0" distB="0" distL="0" distR="0" wp14:anchorId="40537D95" wp14:editId="1632E8A4">
            <wp:extent cx="501676" cy="177809"/>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BE28" w14:textId="77777777" w:rsidR="00064452" w:rsidRDefault="00064452">
      <w:r>
        <w:separator/>
      </w:r>
    </w:p>
  </w:endnote>
  <w:endnote w:type="continuationSeparator" w:id="0">
    <w:p w14:paraId="51B65E46" w14:textId="77777777" w:rsidR="00064452" w:rsidRDefault="0006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2731" w14:textId="77777777" w:rsidR="00064452" w:rsidRDefault="00064452">
      <w:r>
        <w:separator/>
      </w:r>
    </w:p>
  </w:footnote>
  <w:footnote w:type="continuationSeparator" w:id="0">
    <w:p w14:paraId="3BC34223" w14:textId="77777777" w:rsidR="00064452" w:rsidRDefault="000644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707CE"/>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438F6"/>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54BF"/>
    <w:rsid w:val="007F6437"/>
    <w:rsid w:val="0080071F"/>
    <w:rsid w:val="00802CCE"/>
    <w:rsid w:val="008048F2"/>
    <w:rsid w:val="008236FD"/>
    <w:rsid w:val="0082392B"/>
    <w:rsid w:val="0082670C"/>
    <w:rsid w:val="00837046"/>
    <w:rsid w:val="008449C0"/>
    <w:rsid w:val="00852534"/>
    <w:rsid w:val="00856062"/>
    <w:rsid w:val="008613C9"/>
    <w:rsid w:val="008729FC"/>
    <w:rsid w:val="00883662"/>
    <w:rsid w:val="008878AD"/>
    <w:rsid w:val="008A545D"/>
    <w:rsid w:val="008B6513"/>
    <w:rsid w:val="008C3D5D"/>
    <w:rsid w:val="008C7B2F"/>
    <w:rsid w:val="009201FB"/>
    <w:rsid w:val="00923550"/>
    <w:rsid w:val="00934248"/>
    <w:rsid w:val="0093442F"/>
    <w:rsid w:val="00941163"/>
    <w:rsid w:val="009520E0"/>
    <w:rsid w:val="00955635"/>
    <w:rsid w:val="00965D6C"/>
    <w:rsid w:val="00971B99"/>
    <w:rsid w:val="009946DA"/>
    <w:rsid w:val="009B01DF"/>
    <w:rsid w:val="009B08AC"/>
    <w:rsid w:val="009B2031"/>
    <w:rsid w:val="009B7318"/>
    <w:rsid w:val="009D49F7"/>
    <w:rsid w:val="009D4EC0"/>
    <w:rsid w:val="009D6C74"/>
    <w:rsid w:val="009E6217"/>
    <w:rsid w:val="00A538C0"/>
    <w:rsid w:val="00A64675"/>
    <w:rsid w:val="00A739C3"/>
    <w:rsid w:val="00A8188A"/>
    <w:rsid w:val="00A9063E"/>
    <w:rsid w:val="00AA3854"/>
    <w:rsid w:val="00AA490E"/>
    <w:rsid w:val="00AB4F09"/>
    <w:rsid w:val="00AC151E"/>
    <w:rsid w:val="00AC6E6B"/>
    <w:rsid w:val="00AD0467"/>
    <w:rsid w:val="00AD40D9"/>
    <w:rsid w:val="00AE0D9B"/>
    <w:rsid w:val="00AE0F27"/>
    <w:rsid w:val="00AE5E0F"/>
    <w:rsid w:val="00AF4B07"/>
    <w:rsid w:val="00B129C2"/>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20ADD"/>
    <w:rsid w:val="00C37346"/>
    <w:rsid w:val="00C44FF7"/>
    <w:rsid w:val="00C478F8"/>
    <w:rsid w:val="00C66C19"/>
    <w:rsid w:val="00C84BF5"/>
    <w:rsid w:val="00CA2168"/>
    <w:rsid w:val="00CA2250"/>
    <w:rsid w:val="00CA3FE4"/>
    <w:rsid w:val="00CA4776"/>
    <w:rsid w:val="00CB7C60"/>
    <w:rsid w:val="00CC4208"/>
    <w:rsid w:val="00CC47B2"/>
    <w:rsid w:val="00CE1B6B"/>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808E2"/>
    <w:rsid w:val="00F81030"/>
    <w:rsid w:val="00F92635"/>
    <w:rsid w:val="00F9297F"/>
    <w:rsid w:val="00FA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37</Pages>
  <Words>21473</Words>
  <Characters>122399</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8</cp:revision>
  <cp:lastPrinted>2020-09-23T14:57:00Z</cp:lastPrinted>
  <dcterms:created xsi:type="dcterms:W3CDTF">2024-05-23T02:28:00Z</dcterms:created>
  <dcterms:modified xsi:type="dcterms:W3CDTF">2024-05-23T22:14:00Z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