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DD89" w14:textId="3DC60DAA" w:rsidR="006E6D86" w:rsidRPr="00471320" w:rsidRDefault="006E6D86" w:rsidP="006E6D86">
      <w:pPr>
        <w:spacing w:after="0" w:line="480" w:lineRule="auto"/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28795B3" w14:textId="77777777" w:rsidR="006E6D86" w:rsidRPr="0021365F" w:rsidRDefault="006E6D86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Davenport, D.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>et al.</w:t>
      </w:r>
      <w:r w:rsidRPr="0021365F">
        <w:rPr>
          <w:rFonts w:eastAsia="Times New Roman" w:cstheme="minorHAnsi"/>
          <w:kern w:val="0"/>
          <w14:ligatures w14:val="none"/>
        </w:rPr>
        <w:t xml:space="preserve"> Effective number of white shark (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>Carcharodon carcharias,</w:t>
      </w:r>
      <w:r w:rsidRPr="0021365F">
        <w:rPr>
          <w:rFonts w:eastAsia="Times New Roman" w:cstheme="minorHAnsi"/>
          <w:kern w:val="0"/>
          <w14:ligatures w14:val="none"/>
        </w:rPr>
        <w:t xml:space="preserve"> Linnaeus) breeders is stable over four successive years in the population adjacent to eastern Australia and New Zealand. </w:t>
      </w:r>
      <w:r w:rsidRPr="0021365F">
        <w:rPr>
          <w:rFonts w:eastAsia="Times New Roman" w:cstheme="minorHAnsi"/>
          <w:i/>
          <w:iCs/>
          <w:kern w:val="0"/>
          <w14:ligatures w14:val="none"/>
        </w:rPr>
        <w:t>Ecol. Evol.</w:t>
      </w:r>
      <w:r w:rsidRPr="0021365F">
        <w:rPr>
          <w:rFonts w:eastAsia="Times New Roman" w:cstheme="minorHAnsi"/>
          <w:kern w:val="0"/>
          <w14:ligatures w14:val="none"/>
        </w:rPr>
        <w:t xml:space="preserve"> </w:t>
      </w:r>
      <w:r w:rsidRPr="0021365F">
        <w:rPr>
          <w:rFonts w:eastAsia="Times New Roman" w:cstheme="minorHAnsi"/>
          <w:b/>
          <w:bCs/>
          <w:kern w:val="0"/>
          <w14:ligatures w14:val="none"/>
        </w:rPr>
        <w:t>11</w:t>
      </w:r>
      <w:r w:rsidRPr="0021365F">
        <w:rPr>
          <w:rFonts w:eastAsia="Times New Roman" w:cstheme="minorHAnsi"/>
          <w:kern w:val="0"/>
          <w14:ligatures w14:val="none"/>
        </w:rPr>
        <w:t>, 186–198 (2021).</w:t>
      </w:r>
    </w:p>
    <w:p w14:paraId="39D70236" w14:textId="77777777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29C275" w14:textId="34B542A4" w:rsidR="00744089" w:rsidRPr="0021365F" w:rsidRDefault="00744089" w:rsidP="00882D36">
      <w:p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Due to the error in an intermediate data file, we recompleted the </w:t>
      </w:r>
      <w:r w:rsidR="00051766">
        <w:rPr>
          <w:rFonts w:eastAsia="Times New Roman" w:cstheme="minorHAnsi"/>
          <w:kern w:val="0"/>
          <w14:ligatures w14:val="none"/>
        </w:rPr>
        <w:t xml:space="preserve">analysis used in this study  </w:t>
      </w:r>
      <w:r w:rsidRPr="0021365F">
        <w:rPr>
          <w:rFonts w:eastAsia="Times New Roman" w:cstheme="minorHAnsi"/>
          <w:kern w:val="0"/>
          <w14:ligatures w14:val="none"/>
        </w:rPr>
        <w:t>to estimate Nb from the from the raw SNP genotype data.</w:t>
      </w:r>
    </w:p>
    <w:p w14:paraId="334705B1" w14:textId="77777777" w:rsidR="00BE33C6" w:rsidRPr="0021365F" w:rsidRDefault="007F11C6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We wish to correct </w:t>
      </w:r>
      <w:r w:rsidR="00650C87" w:rsidRPr="0021365F">
        <w:rPr>
          <w:rFonts w:eastAsia="Times New Roman" w:cstheme="minorHAnsi"/>
          <w:kern w:val="0"/>
          <w14:ligatures w14:val="none"/>
        </w:rPr>
        <w:t>Table 1</w:t>
      </w:r>
      <w:r w:rsidRPr="0021365F">
        <w:rPr>
          <w:rFonts w:eastAsia="Times New Roman" w:cstheme="minorHAnsi"/>
          <w:kern w:val="0"/>
          <w14:ligatures w14:val="none"/>
        </w:rPr>
        <w:t xml:space="preserve"> to the following:</w:t>
      </w:r>
    </w:p>
    <w:tbl>
      <w:tblPr>
        <w:tblW w:w="91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996"/>
        <w:gridCol w:w="1584"/>
        <w:gridCol w:w="1584"/>
        <w:gridCol w:w="1584"/>
        <w:gridCol w:w="1585"/>
      </w:tblGrid>
      <w:tr w:rsidR="00BE33C6" w:rsidRPr="0021365F" w14:paraId="2909327C" w14:textId="77777777" w:rsidTr="00471320">
        <w:trPr>
          <w:trHeight w:val="25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B216E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5F1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9BF06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62AA5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2D7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1829D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2013</w:t>
            </w:r>
          </w:p>
        </w:tc>
      </w:tr>
      <w:tr w:rsidR="00BE33C6" w:rsidRPr="0021365F" w14:paraId="4201A15C" w14:textId="77777777" w:rsidTr="00471320">
        <w:trPr>
          <w:trHeight w:val="342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E286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MSAT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58D8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24AA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21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46EE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33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FC61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39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2F84A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54</w:t>
            </w:r>
          </w:p>
        </w:tc>
      </w:tr>
      <w:tr w:rsidR="00BE33C6" w:rsidRPr="0021365F" w14:paraId="60C1018D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982F5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5C4205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5D7C8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∞</w:t>
            </w:r>
          </w:p>
          <w:p w14:paraId="237E2DAB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(82.5-∞)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AB39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263.9</w:t>
            </w:r>
          </w:p>
          <w:p w14:paraId="41B78F3A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(51.4-∞)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FE7DD6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128.7</w:t>
            </w:r>
          </w:p>
          <w:p w14:paraId="732E457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(43.1-∞)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2B03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122.6</w:t>
            </w:r>
          </w:p>
          <w:p w14:paraId="7A4268F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(49.3, 12934.9)</w:t>
            </w:r>
          </w:p>
        </w:tc>
      </w:tr>
      <w:tr w:rsidR="00BE33C6" w:rsidRPr="0021365F" w14:paraId="4B0BE62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655EF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F8A396" w14:textId="77777777" w:rsidR="00BE33C6" w:rsidRPr="0021365F" w:rsidRDefault="00000000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A88F60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  <w:p w14:paraId="0C91469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(18,74)[7,56]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4D09B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  <w:p w14:paraId="727A4735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(30,84)[3,95]</w:t>
            </w:r>
          </w:p>
        </w:tc>
        <w:tc>
          <w:tcPr>
            <w:tcW w:w="158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0AB004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  <w:p w14:paraId="2D0F7BB8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(36,88)[5,97]</w:t>
            </w:r>
          </w:p>
        </w:tc>
        <w:tc>
          <w:tcPr>
            <w:tcW w:w="1585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A1BC2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  <w:p w14:paraId="0CD7BA1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(41,96)[17,137]</w:t>
            </w:r>
          </w:p>
        </w:tc>
      </w:tr>
      <w:tr w:rsidR="00BE33C6" w:rsidRPr="0021365F" w14:paraId="701E8D99" w14:textId="77777777" w:rsidTr="00471320">
        <w:trPr>
          <w:trHeight w:val="24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89CE39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  <w:t>SNP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B928F1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eastAsia="Times New Roman" w:hAnsiTheme="minorHAnsi" w:cstheme="minorHAnsi"/>
                <w:b/>
                <w:i/>
                <w:sz w:val="22"/>
                <w:szCs w:val="22"/>
              </w:rPr>
              <w:t>n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645CED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4DAC7E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39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DF20AF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5BB47" w14:textId="77777777" w:rsidR="00BE33C6" w:rsidRPr="0021365F" w:rsidRDefault="00BE33C6" w:rsidP="00946634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63</w:t>
            </w:r>
          </w:p>
        </w:tc>
      </w:tr>
      <w:tr w:rsidR="006A4D3B" w:rsidRPr="0021365F" w14:paraId="79614DFE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2B1BB2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D251E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LD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9D0DBF" w14:textId="07116F90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2.1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.7, 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249.5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251168" w14:textId="033246BD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208.1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(110.1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1135.9</w:t>
            </w:r>
            <w:r w:rsidR="006A4D3B" w:rsidRPr="002136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19A562" w14:textId="1B7F4BFF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201.9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(126.7, 449.0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EAA24E" w14:textId="5B1E46E6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179.8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(121.9, 320.8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</w:p>
        </w:tc>
      </w:tr>
      <w:tr w:rsidR="006A4D3B" w:rsidRPr="0021365F" w14:paraId="6F03DCAB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FA0A4D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69FDB9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D5213" w14:textId="52D5FC38" w:rsidR="00720F30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96(5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,1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8)</w:t>
            </w:r>
          </w:p>
          <w:p w14:paraId="28375C34" w14:textId="5320D0F6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[7,3]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D900FE" w14:textId="135EDF68" w:rsidR="006A4D3B" w:rsidRPr="0021365F" w:rsidRDefault="006A4D3B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148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,5</w:t>
            </w:r>
            <w:r w:rsidR="00720F30" w:rsidRPr="0021365F">
              <w:rPr>
                <w:rFonts w:asciiTheme="minorHAnsi" w:hAnsiTheme="minorHAnsi" w:cstheme="minorHAnsi"/>
                <w:sz w:val="22"/>
                <w:szCs w:val="22"/>
              </w:rPr>
              <w:t>67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)[4,5]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802C4" w14:textId="35D99CF4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196(132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,3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)[8,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EE1A9" w14:textId="2F929723" w:rsidR="006A4D3B" w:rsidRPr="0021365F" w:rsidRDefault="00720F3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174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123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252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)[16,</w:t>
            </w: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6A4D3B" w:rsidRPr="0021365F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</w:tc>
      </w:tr>
      <w:tr w:rsidR="007C681C" w:rsidRPr="0021365F" w14:paraId="0F601668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3588E1" w14:textId="77777777" w:rsidR="007C681C" w:rsidRPr="0021365F" w:rsidRDefault="007C681C" w:rsidP="007C681C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0E3D9" w14:textId="77777777" w:rsidR="007C681C" w:rsidRPr="0021365F" w:rsidRDefault="00000000" w:rsidP="007C681C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LD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 Nb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SA  (±SA)</m:t>
                    </m:r>
                  </m:sub>
                </m:sSub>
              </m:oMath>
            </m:oMathPara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C1D9F2" w14:textId="26009CE4" w:rsidR="007C681C" w:rsidRPr="007C681C" w:rsidRDefault="007C681C" w:rsidP="007C681C">
            <w:pPr>
              <w:jc w:val="center"/>
              <w:rPr>
                <w:rFonts w:cstheme="minorHAnsi"/>
                <w:color w:val="000000"/>
              </w:rPr>
            </w:pPr>
            <w:r w:rsidRPr="007C681C">
              <w:rPr>
                <w:rFonts w:cs="Calibri"/>
                <w:color w:val="000000"/>
              </w:rPr>
              <w:t>74.6(20.6)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D2E8CA" w14:textId="008F9CE4" w:rsidR="007C681C" w:rsidRPr="007C681C" w:rsidRDefault="007C681C" w:rsidP="007C681C">
            <w:pPr>
              <w:jc w:val="center"/>
              <w:rPr>
                <w:rFonts w:cstheme="minorHAnsi"/>
                <w:color w:val="000000"/>
              </w:rPr>
            </w:pPr>
            <w:r w:rsidRPr="007C681C">
              <w:rPr>
                <w:rFonts w:cs="Calibri"/>
                <w:color w:val="000000"/>
              </w:rPr>
              <w:t>228.7 (57.8</w:t>
            </w:r>
            <w:r w:rsidRPr="007C681C">
              <w:rPr>
                <w:rFonts w:eastAsia="Times New Roman" w:cstheme="minorHAnsi"/>
              </w:rPr>
              <w:t>)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3958FC" w14:textId="208283F0" w:rsidR="007C681C" w:rsidRPr="007C681C" w:rsidRDefault="007C681C" w:rsidP="007C681C">
            <w:pPr>
              <w:jc w:val="center"/>
              <w:rPr>
                <w:rFonts w:cstheme="minorHAnsi"/>
                <w:color w:val="000000"/>
              </w:rPr>
            </w:pPr>
            <w:r w:rsidRPr="007C681C">
              <w:rPr>
                <w:rFonts w:cs="Calibri"/>
                <w:color w:val="000000"/>
              </w:rPr>
              <w:t>197.21 (39.08)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179FF3" w14:textId="4A0C4F00" w:rsidR="007C681C" w:rsidRPr="007C681C" w:rsidRDefault="007C681C" w:rsidP="007C681C">
            <w:pPr>
              <w:jc w:val="center"/>
              <w:rPr>
                <w:rFonts w:cstheme="minorHAnsi"/>
                <w:color w:val="000000"/>
              </w:rPr>
            </w:pPr>
            <w:r w:rsidRPr="007C681C">
              <w:rPr>
                <w:rFonts w:cs="Calibri"/>
                <w:color w:val="000000"/>
              </w:rPr>
              <w:t>174.85 (29.3)</w:t>
            </w:r>
          </w:p>
        </w:tc>
      </w:tr>
      <w:tr w:rsidR="006A4D3B" w:rsidRPr="0021365F" w14:paraId="516413DA" w14:textId="77777777" w:rsidTr="00471320">
        <w:trPr>
          <w:trHeight w:val="557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484143" w14:textId="77777777" w:rsidR="006A4D3B" w:rsidRPr="0021365F" w:rsidRDefault="006A4D3B" w:rsidP="006A4D3B">
            <w:pPr>
              <w:pStyle w:val="Standard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FC8AFF" w14:textId="77777777" w:rsidR="006A4D3B" w:rsidRPr="0021365F" w:rsidRDefault="00000000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m:oMath>
              <m:f>
                <m:fPr>
                  <m:type m:val="lin"/>
                  <m:ctrlPr>
                    <w:rPr>
                      <w:rFonts w:ascii="Cambria Math" w:hAnsi="Cambria Math" w:cstheme="minorHAns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Nb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Na</m:t>
                  </m:r>
                </m:den>
              </m:f>
            </m:oMath>
            <w:r w:rsidR="006A4D3B" w:rsidRPr="0021365F">
              <w:rPr>
                <w:rFonts w:asciiTheme="minorHAnsi" w:eastAsia="Times New Roman" w:hAnsiTheme="minorHAnsi" w:cstheme="minorHAnsi"/>
                <w:sz w:val="22"/>
                <w:szCs w:val="22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6D2296" w14:textId="73F16AF5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0.10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D4DF68" w14:textId="74A7BAC9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0.30</w:t>
            </w:r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8B8FFE" w14:textId="1B67B56C" w:rsidR="006A4D3B" w:rsidRPr="0021365F" w:rsidRDefault="001749B4" w:rsidP="000902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21365F">
              <w:rPr>
                <w:rFonts w:eastAsia="Times New Roman" w:cstheme="minorHAnsi"/>
                <w:color w:val="000000"/>
                <w:kern w:val="0"/>
                <w14:ligatures w14:val="none"/>
              </w:rPr>
              <w:t>0.26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1FDCBD" w14:textId="06E85DEB" w:rsidR="006A4D3B" w:rsidRPr="0021365F" w:rsidRDefault="001749B4" w:rsidP="006A4D3B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1365F">
              <w:rPr>
                <w:rFonts w:asciiTheme="minorHAnsi" w:hAnsiTheme="minorHAnsi" w:cstheme="minorHAnsi"/>
                <w:sz w:val="22"/>
                <w:szCs w:val="22"/>
              </w:rPr>
              <w:t>0.23</w:t>
            </w:r>
          </w:p>
        </w:tc>
      </w:tr>
    </w:tbl>
    <w:p w14:paraId="4A250F4D" w14:textId="416CA6E6" w:rsidR="00744089" w:rsidRPr="0021365F" w:rsidRDefault="0075651D" w:rsidP="00BE33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Where values from this updated table appear in text, </w:t>
      </w:r>
      <w:r w:rsidR="00FF1D31" w:rsidRPr="0021365F">
        <w:rPr>
          <w:rFonts w:eastAsia="Times New Roman" w:cstheme="minorHAnsi"/>
          <w:kern w:val="0"/>
          <w14:ligatures w14:val="none"/>
        </w:rPr>
        <w:t>w</w:t>
      </w:r>
      <w:r w:rsidR="007F11C6" w:rsidRPr="0021365F">
        <w:rPr>
          <w:rFonts w:eastAsia="Times New Roman" w:cstheme="minorHAnsi"/>
          <w:kern w:val="0"/>
          <w14:ligatures w14:val="none"/>
        </w:rPr>
        <w:t>e have made changes</w:t>
      </w:r>
      <w:r w:rsidR="00656745" w:rsidRPr="0021365F">
        <w:rPr>
          <w:rFonts w:eastAsia="Times New Roman" w:cstheme="minorHAnsi"/>
          <w:kern w:val="0"/>
          <w14:ligatures w14:val="none"/>
        </w:rPr>
        <w:t>. The following lines were affected:</w:t>
      </w:r>
    </w:p>
    <w:p w14:paraId="08E49F8C" w14:textId="7AF6316B" w:rsidR="000417AD" w:rsidRPr="0021365F" w:rsidRDefault="00BE33C6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eastAsia="Times New Roman" w:cstheme="minorHAnsi"/>
          <w:kern w:val="0"/>
          <w14:ligatures w14:val="none"/>
        </w:rPr>
        <w:t>Line</w:t>
      </w:r>
      <w:r w:rsidR="007F11C6" w:rsidRPr="0021365F">
        <w:rPr>
          <w:rFonts w:eastAsia="Times New Roman" w:cstheme="minorHAnsi"/>
          <w:kern w:val="0"/>
          <w14:ligatures w14:val="none"/>
        </w:rPr>
        <w:t xml:space="preserve"> </w:t>
      </w:r>
      <w:r w:rsidR="005400E8">
        <w:rPr>
          <w:rFonts w:eastAsia="Times New Roman" w:cstheme="minorHAnsi"/>
          <w:kern w:val="0"/>
          <w14:ligatures w14:val="none"/>
        </w:rPr>
        <w:t>65</w:t>
      </w:r>
      <w:r w:rsidR="00744089" w:rsidRPr="0021365F">
        <w:rPr>
          <w:rFonts w:eastAsia="Times New Roman" w:cstheme="minorHAnsi"/>
          <w:kern w:val="0"/>
          <w14:ligatures w14:val="none"/>
        </w:rPr>
        <w:t xml:space="preserve"> now reads</w:t>
      </w:r>
      <w:r w:rsidR="00FF1D31" w:rsidRPr="0021365F">
        <w:rPr>
          <w:rFonts w:eastAsia="Times New Roman" w:cstheme="minorHAnsi"/>
          <w:kern w:val="0"/>
          <w14:ligatures w14:val="none"/>
        </w:rPr>
        <w:t>:</w:t>
      </w:r>
      <w:r w:rsidR="00744089" w:rsidRPr="0021365F">
        <w:rPr>
          <w:rFonts w:cstheme="minorHAnsi"/>
        </w:rPr>
        <w:t xml:space="preserve"> “</w:t>
      </w:r>
      <w:r w:rsidR="004C1150" w:rsidRPr="0021365F">
        <w:rPr>
          <w:rFonts w:cstheme="minorHAnsi"/>
        </w:rPr>
        <w:t xml:space="preserve">…for example the 2013 age-cohort </w:t>
      </w:r>
      <m:oMath>
        <m:r>
          <w:rPr>
            <w:rFonts w:ascii="Cambria Math" w:hAnsi="Cambria Math" w:cstheme="minorHAnsi"/>
          </w:rPr>
          <m:t xml:space="preserve">Nb(SA) </m:t>
        </m:r>
      </m:oMath>
      <w:r w:rsidR="004C1150" w:rsidRPr="0021365F">
        <w:rPr>
          <w:rFonts w:cstheme="minorHAnsi"/>
        </w:rPr>
        <w:t xml:space="preserve">was 174 (123,252 95%CI) and </w:t>
      </w:r>
      <m:oMath>
        <m:r>
          <w:rPr>
            <w:rFonts w:ascii="Cambria Math" w:hAnsi="Cambria Math" w:cstheme="minorHAnsi"/>
          </w:rPr>
          <m:t>Nb(LD</m:t>
        </m:r>
      </m:oMath>
      <w:r w:rsidR="004C1150" w:rsidRPr="0021365F">
        <w:rPr>
          <w:rFonts w:cstheme="minorHAnsi"/>
        </w:rPr>
        <w:t xml:space="preserve">) was 179.8 (121.9, 320.8 95%CI). We show that over the time period studied </w:t>
      </w:r>
      <m:oMath>
        <m:r>
          <w:rPr>
            <w:rFonts w:ascii="Cambria Math" w:hAnsi="Cambria Math" w:cstheme="minorHAnsi"/>
          </w:rPr>
          <m:t xml:space="preserve">Nb </m:t>
        </m:r>
      </m:oMath>
      <w:r w:rsidR="004C1150" w:rsidRPr="0021365F">
        <w:rPr>
          <w:rFonts w:cstheme="minorHAnsi"/>
        </w:rPr>
        <w:t xml:space="preserve">was stable </w:t>
      </w:r>
      <w:r w:rsidR="004C1150" w:rsidRPr="0021365F">
        <w:rPr>
          <w:rFonts w:cstheme="minorHAnsi"/>
          <w:color w:val="000000" w:themeColor="text1"/>
        </w:rPr>
        <w:t>(showed no detectable trend),</w:t>
      </w:r>
      <w:r w:rsidR="004C1150" w:rsidRPr="0021365F">
        <w:rPr>
          <w:rFonts w:cstheme="minorHAnsi"/>
        </w:rPr>
        <w:t xml:space="preserve"> and ranged between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74.</w:t>
      </w:r>
      <w:r w:rsidR="007C681C">
        <w:rPr>
          <w:rFonts w:cstheme="minorHAnsi"/>
          <w:color w:val="000000"/>
        </w:rPr>
        <w:t>6</w:t>
      </w:r>
      <w:r w:rsidR="00792D14" w:rsidRPr="0021365F">
        <w:rPr>
          <w:rFonts w:cstheme="minorHAnsi"/>
          <w:color w:val="000000"/>
        </w:rPr>
        <w:t>(20.</w:t>
      </w:r>
      <w:r w:rsidR="007C681C">
        <w:rPr>
          <w:rFonts w:cstheme="minorHAnsi"/>
          <w:color w:val="000000"/>
        </w:rPr>
        <w:t>6</w:t>
      </w:r>
      <w:r w:rsidR="004C1150" w:rsidRPr="0021365F">
        <w:rPr>
          <w:rFonts w:cstheme="minorHAnsi"/>
        </w:rPr>
        <w:t>±SD) and</w:t>
      </w:r>
      <m:oMath>
        <m:r>
          <w:rPr>
            <w:rFonts w:ascii="Cambria Math" w:hAnsi="Cambria Math" w:cstheme="minorHAnsi"/>
          </w:rPr>
          <m:t xml:space="preserve"> </m:t>
        </m:r>
      </m:oMath>
      <w:r w:rsidR="00792D14" w:rsidRPr="0021365F">
        <w:rPr>
          <w:rFonts w:cstheme="minorHAnsi"/>
          <w:color w:val="000000"/>
        </w:rPr>
        <w:t>228.</w:t>
      </w:r>
      <w:r w:rsidR="007C681C">
        <w:rPr>
          <w:rFonts w:cstheme="minorHAnsi"/>
          <w:color w:val="000000"/>
        </w:rPr>
        <w:t>7</w:t>
      </w:r>
      <w:r w:rsidR="00792D14" w:rsidRPr="0021365F">
        <w:rPr>
          <w:rFonts w:cstheme="minorHAnsi"/>
          <w:color w:val="000000"/>
        </w:rPr>
        <w:t>(57.</w:t>
      </w:r>
      <w:r w:rsidR="007C681C">
        <w:rPr>
          <w:rFonts w:cstheme="minorHAnsi"/>
          <w:color w:val="000000"/>
        </w:rPr>
        <w:t>8</w:t>
      </w:r>
      <w:r w:rsidR="004C1150" w:rsidRPr="0021365F">
        <w:rPr>
          <w:rFonts w:cstheme="minorHAnsi"/>
        </w:rPr>
        <w:t xml:space="preserve">±SD) per year using a combined estimate of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LD+SA</m:t>
            </m:r>
          </m:e>
        </m:d>
      </m:oMath>
      <w:r w:rsidR="004C1150" w:rsidRPr="0021365F">
        <w:rPr>
          <w:rFonts w:cstheme="minorHAnsi"/>
        </w:rPr>
        <w:t xml:space="preserve"> from SNP loci.”</w:t>
      </w:r>
    </w:p>
    <w:p w14:paraId="7E8663DC" w14:textId="5325BAE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 xml:space="preserve">Line </w:t>
      </w:r>
      <w:r w:rsidR="0052495B" w:rsidRPr="0021365F">
        <w:rPr>
          <w:rFonts w:cstheme="minorHAnsi"/>
        </w:rPr>
        <w:t xml:space="preserve">337-339 </w:t>
      </w:r>
      <w:r w:rsidRPr="0021365F">
        <w:rPr>
          <w:rFonts w:cstheme="minorHAnsi"/>
        </w:rPr>
        <w:t xml:space="preserve">now reads: </w:t>
      </w:r>
      <w:r w:rsidR="0052495B" w:rsidRPr="0021365F">
        <w:rPr>
          <w:rFonts w:cstheme="minorHAnsi"/>
        </w:rPr>
        <w:t>“</w:t>
      </w:r>
      <w:bookmarkStart w:id="0" w:name="_Hlk167312185"/>
      <w:r w:rsidR="0052495B" w:rsidRPr="0021365F">
        <w:rPr>
          <w:rFonts w:cstheme="minorHAnsi"/>
        </w:rPr>
        <w:t xml:space="preserve">The final SNP dataset after filtering consisted of </w:t>
      </w:r>
      <w:r w:rsidR="008A74D8" w:rsidRPr="0021365F">
        <w:rPr>
          <w:rFonts w:cstheme="minorHAnsi"/>
        </w:rPr>
        <w:t xml:space="preserve">4256 </w:t>
      </w:r>
      <w:r w:rsidR="0052495B" w:rsidRPr="0021365F">
        <w:rPr>
          <w:rFonts w:cstheme="minorHAnsi"/>
        </w:rPr>
        <w:t xml:space="preserve">diallelic SNPs consisting of </w:t>
      </w:r>
      <w:r w:rsidR="008A74D8" w:rsidRPr="0021365F">
        <w:rPr>
          <w:rFonts w:cstheme="minorHAnsi"/>
        </w:rPr>
        <w:t>2</w:t>
      </w:r>
      <w:r w:rsidR="007005D5" w:rsidRPr="0021365F">
        <w:rPr>
          <w:rFonts w:cstheme="minorHAnsi"/>
        </w:rPr>
        <w:t>35</w:t>
      </w:r>
      <w:r w:rsidR="008A74D8" w:rsidRPr="0021365F">
        <w:rPr>
          <w:rFonts w:cstheme="minorHAnsi"/>
        </w:rPr>
        <w:t xml:space="preserve"> </w:t>
      </w:r>
      <w:r w:rsidR="0052495B" w:rsidRPr="0021365F">
        <w:rPr>
          <w:rFonts w:cstheme="minorHAnsi"/>
        </w:rPr>
        <w:t>EAP individuals with high quality SNP genotypes (Dataset-2).</w:t>
      </w:r>
      <w:bookmarkEnd w:id="0"/>
      <w:r w:rsidR="0052495B" w:rsidRPr="0021365F">
        <w:rPr>
          <w:rFonts w:cstheme="minorHAnsi"/>
        </w:rPr>
        <w:t>”</w:t>
      </w:r>
    </w:p>
    <w:p w14:paraId="342F95C7" w14:textId="5B8F5E7C" w:rsidR="00744089" w:rsidRPr="0021365F" w:rsidRDefault="00295663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</w:rPr>
        <w:t>Line 350 the text … “with the exception of the 2010 cohort” was removed</w:t>
      </w:r>
      <w:r w:rsidR="00471320" w:rsidRPr="0021365F">
        <w:rPr>
          <w:rFonts w:cstheme="minorHAnsi"/>
        </w:rPr>
        <w:t xml:space="preserve"> as this is no longer reflected in the result.</w:t>
      </w:r>
    </w:p>
    <w:p w14:paraId="302791EB" w14:textId="170CDE2C" w:rsidR="00BE33C6" w:rsidRDefault="00BE33C6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</w:rPr>
      </w:pPr>
      <w:r w:rsidRPr="0021365F">
        <w:rPr>
          <w:rFonts w:cstheme="minorHAnsi"/>
        </w:rPr>
        <w:t xml:space="preserve">Line 353-Line 355 </w:t>
      </w:r>
      <w:r w:rsidR="006A4D3B" w:rsidRPr="0021365F">
        <w:rPr>
          <w:rFonts w:cstheme="minorHAnsi"/>
        </w:rPr>
        <w:t>“</w:t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Although confidence intervals overlapped, estimates of </w:t>
      </w:r>
      <w:r w:rsidR="006A4D3B" w:rsidRPr="0021365F">
        <w:rPr>
          <w:rFonts w:cstheme="minorHAnsi"/>
          <w:noProof/>
        </w:rPr>
        <w:drawing>
          <wp:inline distT="0" distB="0" distL="0" distR="0" wp14:anchorId="5DB2DA30" wp14:editId="180434DC">
            <wp:extent cx="501650" cy="184150"/>
            <wp:effectExtent l="0" t="0" r="0" b="635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were generally higher than those determined from </w:t>
      </w:r>
      <w:r w:rsidR="006A4D3B" w:rsidRPr="0021365F">
        <w:rPr>
          <w:rFonts w:cstheme="minorHAnsi"/>
          <w:noProof/>
        </w:rPr>
        <w:drawing>
          <wp:inline distT="0" distB="0" distL="0" distR="0" wp14:anchorId="31694CDD" wp14:editId="2D3824EF">
            <wp:extent cx="514350" cy="184150"/>
            <wp:effectExtent l="0" t="0" r="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01"/>
          <w:rFonts w:asciiTheme="minorHAnsi" w:hAnsiTheme="minorHAnsi" w:cstheme="minorHAnsi"/>
          <w:sz w:val="22"/>
          <w:szCs w:val="22"/>
        </w:rPr>
        <w:t xml:space="preserve">across all cohorts. 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The 2011 cohort showed the largest 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lastRenderedPageBreak/>
        <w:t xml:space="preserve">difference between estimates; </w:t>
      </w:r>
      <w:r w:rsidR="006A4D3B" w:rsidRPr="0021365F">
        <w:rPr>
          <w:rFonts w:cstheme="minorHAnsi"/>
          <w:noProof/>
        </w:rPr>
        <w:drawing>
          <wp:inline distT="0" distB="0" distL="0" distR="0" wp14:anchorId="2FB68391" wp14:editId="7820FCA4">
            <wp:extent cx="762000" cy="184150"/>
            <wp:effectExtent l="0" t="0" r="0" b="635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= 214.6 (95%CI 104.8-551.1), </w:t>
      </w:r>
      <w:r w:rsidR="006A4D3B" w:rsidRPr="0021365F">
        <w:rPr>
          <w:rFonts w:cstheme="minorHAnsi"/>
          <w:noProof/>
        </w:rPr>
        <w:drawing>
          <wp:inline distT="0" distB="0" distL="0" distR="0" wp14:anchorId="07E21DE2" wp14:editId="60B79D3C">
            <wp:extent cx="762000" cy="18415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= 344 (95%CI 211-872).” was deleted as it no longer reflects the result.</w:t>
      </w:r>
      <w:r w:rsidR="006A4D3B" w:rsidRPr="0021365F">
        <w:rPr>
          <w:rStyle w:val="cf11"/>
          <w:rFonts w:asciiTheme="minorHAnsi" w:hAnsiTheme="minorHAnsi" w:cstheme="minorHAnsi"/>
          <w:sz w:val="22"/>
          <w:szCs w:val="22"/>
        </w:rPr>
        <w:t xml:space="preserve"> </w:t>
      </w:r>
    </w:p>
    <w:p w14:paraId="20EF3FC5" w14:textId="3B92CB00" w:rsidR="005400E8" w:rsidRPr="005400E8" w:rsidRDefault="005400E8" w:rsidP="007F11C6">
      <w:pPr>
        <w:shd w:val="clear" w:color="auto" w:fill="FFFFFF"/>
        <w:spacing w:before="100" w:beforeAutospacing="1" w:after="240" w:line="240" w:lineRule="auto"/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21365F">
        <w:rPr>
          <w:rFonts w:cstheme="minorHAnsi"/>
        </w:rPr>
        <w:t>We added a line, line 35</w:t>
      </w:r>
      <w:r>
        <w:rPr>
          <w:rFonts w:cstheme="minorHAnsi"/>
        </w:rPr>
        <w:t>5</w:t>
      </w:r>
      <w:r w:rsidRPr="0021365F">
        <w:rPr>
          <w:rFonts w:cstheme="minorHAnsi"/>
        </w:rPr>
        <w:t xml:space="preserve"> now reads</w:t>
      </w:r>
      <w:r w:rsidRPr="005400E8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Pr="005400E8">
        <w:rPr>
          <w:sz w:val="24"/>
          <w:szCs w:val="24"/>
        </w:rPr>
        <w:t xml:space="preserve">Tests for a trend  in Nb overtime using regression methods was </w:t>
      </w:r>
      <w:r w:rsidRPr="005400E8">
        <w:rPr>
          <w:rFonts w:cstheme="minorHAnsi"/>
          <w:color w:val="000000" w:themeColor="text1"/>
          <w:sz w:val="24"/>
          <w:szCs w:val="24"/>
        </w:rPr>
        <w:t xml:space="preserve">not significant </w:t>
      </w:r>
      <w:r w:rsidRPr="005400E8">
        <w:rPr>
          <w:rFonts w:cstheme="minorHAnsi"/>
          <w:color w:val="000000" w:themeColor="text1"/>
          <w:sz w:val="24"/>
          <w:szCs w:val="24"/>
          <w:shd w:val="clear" w:color="auto" w:fill="FFFFFF"/>
        </w:rPr>
        <w:t>(OLS regression p-value = 0.345; GLS regression p-value = 0.861).</w:t>
      </w:r>
      <w:r w:rsidRPr="001B4E2C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</w:p>
    <w:p w14:paraId="3211B1E2" w14:textId="5B42B0B4" w:rsidR="006A4D3B" w:rsidRPr="0021365F" w:rsidRDefault="006A4D3B" w:rsidP="00090291">
      <w:pPr>
        <w:rPr>
          <w:rStyle w:val="cf11"/>
          <w:rFonts w:asciiTheme="minorHAnsi" w:hAnsiTheme="minorHAnsi" w:cstheme="minorHAnsi"/>
          <w:sz w:val="22"/>
          <w:szCs w:val="22"/>
          <w:u w:val="none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>Line 36</w:t>
      </w:r>
      <w:r w:rsid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9</w:t>
      </w: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reads</w:t>
      </w:r>
      <w:r w:rsidR="00090291"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“</w:t>
      </w:r>
      <w:bookmarkStart w:id="1" w:name="_Hlk167383373"/>
      <w:r w:rsidR="00777B2E" w:rsidRPr="0021365F">
        <w:rPr>
          <w:rFonts w:cstheme="minorHAnsi"/>
        </w:rPr>
        <w:t xml:space="preserve">I For cohorts 2010 to 2013, </w:t>
      </w:r>
      <m:oMath>
        <m:r>
          <w:rPr>
            <w:rFonts w:ascii="Cambria Math" w:hAnsi="Cambria Math" w:cstheme="minorHAnsi"/>
          </w:rPr>
          <m:t>Nb(LD+SA)</m:t>
        </m:r>
      </m:oMath>
      <w:r w:rsidR="00777B2E" w:rsidRPr="0021365F">
        <w:rPr>
          <w:rFonts w:cstheme="minorHAnsi"/>
        </w:rPr>
        <w:t xml:space="preserve"> ranged from the smallest estimated value i</w:t>
      </w:r>
      <w:r w:rsidR="00090291" w:rsidRPr="0021365F">
        <w:rPr>
          <w:rFonts w:cstheme="minorHAnsi"/>
        </w:rPr>
        <w:t xml:space="preserve">n 2010, </w:t>
      </w:r>
      <m:oMath>
        <m:r>
          <w:rPr>
            <w:rFonts w:ascii="Cambria Math" w:hAnsi="Cambria Math" w:cstheme="minorHAnsi"/>
          </w:rPr>
          <m:t>Nb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LD+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SA</m:t>
                </m:r>
              </m:e>
              <m:sub>
                <m:r>
                  <w:rPr>
                    <w:rFonts w:ascii="Cambria Math" w:hAnsi="Cambria Math" w:cstheme="minorHAnsi"/>
                  </w:rPr>
                  <m:t>2010</m:t>
                </m:r>
              </m:sub>
            </m:sSub>
          </m:e>
        </m:d>
        <m:r>
          <w:rPr>
            <w:rFonts w:ascii="Cambria Math" w:hAnsi="Cambria Math" w:cstheme="minorHAnsi"/>
          </w:rPr>
          <m:t xml:space="preserve">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74.6(20.6 SD)</m:t>
        </m:r>
        <m:r>
          <w:rPr>
            <w:rFonts w:ascii="Cambria Math" w:hAnsi="Cambria Math" w:cstheme="minorHAnsi"/>
          </w:rPr>
          <m:t>,</m:t>
        </m:r>
      </m:oMath>
      <w:r w:rsidR="00090291" w:rsidRPr="0021365F">
        <w:rPr>
          <w:rFonts w:cstheme="minorHAnsi"/>
        </w:rPr>
        <w:t xml:space="preserve"> to the largest in 2011, </w:t>
      </w:r>
      <m:oMath>
        <m:r>
          <w:rPr>
            <w:rFonts w:ascii="Cambria Math" w:hAnsi="Cambria Math" w:cstheme="minorHAnsi"/>
          </w:rPr>
          <m:t>Nb(LD+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SA</m:t>
            </m:r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  <m:r>
          <w:rPr>
            <w:rFonts w:ascii="Cambria Math" w:hAnsi="Cambria Math" w:cstheme="minorHAnsi"/>
          </w:rPr>
          <m:t xml:space="preserve">)= 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228.7(57.8 SD)</m:t>
        </m:r>
      </m:oMath>
      <w:r w:rsidR="00090291" w:rsidRPr="0021365F">
        <w:rPr>
          <w:rFonts w:cstheme="minorHAnsi"/>
        </w:rPr>
        <w:t xml:space="preserve">(Table 1). The inferred ratio of </w:t>
      </w:r>
      <m:oMath>
        <m:f>
          <m:fPr>
            <m:type m:val="lin"/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Nb</m:t>
            </m:r>
          </m:num>
          <m:den>
            <m:r>
              <w:rPr>
                <w:rFonts w:ascii="Cambria Math" w:hAnsi="Cambria Math" w:cstheme="minorHAnsi"/>
              </w:rPr>
              <m:t>Na</m:t>
            </m:r>
          </m:den>
        </m:f>
      </m:oMath>
      <w:r w:rsidR="00090291" w:rsidRPr="0021365F">
        <w:rPr>
          <w:rFonts w:cstheme="minorHAnsi"/>
        </w:rPr>
        <w:t xml:space="preserve"> ranged from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2010</m:t>
            </m:r>
          </m:sub>
        </m:sSub>
      </m:oMath>
      <w:r w:rsidR="00090291" w:rsidRPr="0021365F">
        <w:rPr>
          <w:rFonts w:cstheme="minorHAnsi"/>
        </w:rPr>
        <w:t xml:space="preserve"> = 0.</w:t>
      </w:r>
      <w:r w:rsidR="008A74D8" w:rsidRPr="0021365F">
        <w:rPr>
          <w:rFonts w:cstheme="minorHAnsi"/>
        </w:rPr>
        <w:t>1</w:t>
      </w:r>
      <w:r w:rsidR="00105539" w:rsidRPr="0021365F">
        <w:rPr>
          <w:rFonts w:cstheme="minorHAnsi"/>
        </w:rPr>
        <w:t>0</w:t>
      </w:r>
      <w:r w:rsidR="008A74D8" w:rsidRPr="0021365F">
        <w:rPr>
          <w:rFonts w:cstheme="minorHAnsi"/>
        </w:rPr>
        <w:t xml:space="preserve"> </w:t>
      </w:r>
      <w:r w:rsidR="00090291" w:rsidRPr="0021365F">
        <w:rPr>
          <w:rFonts w:cstheme="minorHAnsi"/>
        </w:rPr>
        <w:t xml:space="preserve">to 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f>
              <m:fPr>
                <m:type m:val="lin"/>
                <m:ctrlPr>
                  <w:rPr>
                    <w:rFonts w:ascii="Cambria Math" w:hAnsi="Cambria Math" w:cstheme="minorHAnsi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Nb</m:t>
                </m:r>
              </m:num>
              <m:den>
                <m:r>
                  <w:rPr>
                    <w:rFonts w:ascii="Cambria Math" w:hAnsi="Cambria Math" w:cstheme="minorHAnsi"/>
                  </w:rPr>
                  <m:t>Na</m:t>
                </m:r>
              </m:den>
            </m:f>
          </m:e>
          <m:sub>
            <m:r>
              <w:rPr>
                <w:rFonts w:ascii="Cambria Math" w:hAnsi="Cambria Math" w:cstheme="minorHAnsi"/>
              </w:rPr>
              <m:t>2011</m:t>
            </m:r>
          </m:sub>
        </m:sSub>
      </m:oMath>
      <w:r w:rsidR="00090291" w:rsidRPr="0021365F">
        <w:rPr>
          <w:rFonts w:cstheme="minorHAnsi"/>
        </w:rPr>
        <w:t xml:space="preserve"> =</w:t>
      </w:r>
      <w:bookmarkEnd w:id="1"/>
      <w:r w:rsidR="00090291" w:rsidRPr="0021365F">
        <w:rPr>
          <w:rFonts w:cstheme="minorHAnsi"/>
        </w:rPr>
        <w:t xml:space="preserve"> 0.3</w:t>
      </w:r>
      <w:r w:rsidR="00105539" w:rsidRPr="0021365F">
        <w:rPr>
          <w:rFonts w:cstheme="minorHAnsi"/>
        </w:rPr>
        <w:t>0</w:t>
      </w:r>
      <w:r w:rsidR="00090291" w:rsidRPr="0021365F">
        <w:rPr>
          <w:rFonts w:cstheme="minorHAnsi"/>
        </w:rPr>
        <w:t xml:space="preserve">,  calculated using estimates of </w:t>
      </w:r>
      <m:oMath>
        <m:r>
          <w:rPr>
            <w:rFonts w:ascii="Cambria Math" w:hAnsi="Cambria Math" w:cstheme="minorHAnsi"/>
          </w:rPr>
          <m:t xml:space="preserve">Na </m:t>
        </m:r>
      </m:oMath>
      <w:r w:rsidR="00090291" w:rsidRPr="0021365F">
        <w:rPr>
          <w:rFonts w:cstheme="minorHAnsi"/>
        </w:rPr>
        <w:t xml:space="preserve">from Bruce et al., (2018).” </w:t>
      </w:r>
      <w:r w:rsidR="00105539" w:rsidRPr="0021365F">
        <w:rPr>
          <w:rFonts w:cstheme="minorHAnsi"/>
        </w:rPr>
        <w:t xml:space="preserve"> </w:t>
      </w:r>
    </w:p>
    <w:p w14:paraId="25248EB7" w14:textId="4C7DACCA" w:rsidR="00090291" w:rsidRPr="0021365F" w:rsidRDefault="00090291" w:rsidP="00090291">
      <w:pPr>
        <w:rPr>
          <w:rFonts w:cstheme="minorHAnsi"/>
        </w:rPr>
      </w:pPr>
      <w:r w:rsidRPr="0021365F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Line </w:t>
      </w:r>
      <w:r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4</w:t>
      </w:r>
      <w:r w:rsidR="005400E8"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>23</w:t>
      </w:r>
      <w:r w:rsidRPr="005400E8">
        <w:rPr>
          <w:rStyle w:val="cf11"/>
          <w:rFonts w:asciiTheme="minorHAnsi" w:hAnsiTheme="minorHAnsi" w:cstheme="minorHAnsi"/>
          <w:sz w:val="22"/>
          <w:szCs w:val="22"/>
          <w:u w:val="none"/>
        </w:rPr>
        <w:t xml:space="preserve"> now states “</w:t>
      </w:r>
      <w:bookmarkStart w:id="2" w:name="_Hlk167384007"/>
      <m:oMath>
        <m:r>
          <w:rPr>
            <w:rFonts w:ascii="Cambria Math" w:hAnsi="Cambria Math"/>
          </w:rPr>
          <m:t>Nb</m:t>
        </m:r>
      </m:oMath>
      <w:r w:rsidR="005400E8" w:rsidRPr="005400E8">
        <w:rPr>
          <w:rFonts w:cstheme="minorHAnsi"/>
        </w:rPr>
        <w:t xml:space="preserve"> estimated using SNPs differed between </w:t>
      </w:r>
      <w:commentRangeStart w:id="3"/>
      <w:r w:rsidR="005400E8" w:rsidRPr="005400E8">
        <w:rPr>
          <w:rFonts w:cstheme="minorHAnsi"/>
        </w:rPr>
        <w:t>methods</w:t>
      </w:r>
      <w:commentRangeEnd w:id="3"/>
      <w:r w:rsidR="005400E8" w:rsidRPr="005400E8">
        <w:rPr>
          <w:rStyle w:val="CommentReference"/>
          <w:rFonts w:ascii="Calibri" w:eastAsia="Linux Libertine G" w:hAnsi="Calibri" w:cs="Mangal"/>
          <w:lang w:eastAsia="zh-CN" w:bidi="hi-IN"/>
        </w:rPr>
        <w:commentReference w:id="3"/>
      </w:r>
      <w:r w:rsidR="005400E8" w:rsidRPr="005400E8">
        <w:rPr>
          <w:rFonts w:cstheme="minorHAnsi"/>
        </w:rPr>
        <w:t xml:space="preserve">, although differences were not significant having overlapping CIs. </w:t>
      </w:r>
      <w:bookmarkEnd w:id="2"/>
      <w:r w:rsidRPr="005400E8">
        <w:rPr>
          <w:rFonts w:cstheme="minorHAnsi"/>
        </w:rPr>
        <w:t>”</w:t>
      </w:r>
      <w:r w:rsidR="007C21E6" w:rsidRPr="005400E8">
        <w:rPr>
          <w:rFonts w:cstheme="minorHAnsi"/>
        </w:rPr>
        <w:t xml:space="preserve"> which replaces</w:t>
      </w:r>
      <w:r w:rsidR="007C21E6" w:rsidRPr="0021365F">
        <w:rPr>
          <w:rFonts w:cstheme="minorHAnsi"/>
        </w:rPr>
        <w:t xml:space="preserve"> text which previously read “</w:t>
      </w:r>
      <m:oMath>
        <m:r>
          <w:rPr>
            <w:rFonts w:ascii="Cambria Math" w:hAnsi="Cambria Math" w:cstheme="minorHAnsi"/>
          </w:rPr>
          <m:t>Nb</m:t>
        </m:r>
      </m:oMath>
      <w:r w:rsidR="007C21E6" w:rsidRPr="0021365F">
        <w:rPr>
          <w:rFonts w:cstheme="minorHAnsi"/>
        </w:rPr>
        <w:t xml:space="preserve"> estimated using SNPs differed between methods, such that </w:t>
      </w:r>
      <w:r w:rsidR="007C21E6" w:rsidRPr="0021365F">
        <w:rPr>
          <w:rFonts w:cstheme="minorHAnsi"/>
          <w:noProof/>
        </w:rPr>
        <w:drawing>
          <wp:inline distT="0" distB="0" distL="0" distR="0" wp14:anchorId="629B0E07" wp14:editId="0E5A1ECB">
            <wp:extent cx="514350" cy="184150"/>
            <wp:effectExtent l="0" t="0" r="0" b="635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</w:rPr>
        <w:t>was lower compared to</w:t>
      </w:r>
      <w:r w:rsidR="007C21E6" w:rsidRPr="0021365F">
        <w:rPr>
          <w:rFonts w:cstheme="minorHAnsi"/>
          <w:i/>
          <w:iCs/>
        </w:rPr>
        <w:t xml:space="preserve"> </w:t>
      </w:r>
      <w:r w:rsidR="007C21E6" w:rsidRPr="0021365F">
        <w:rPr>
          <w:rFonts w:cstheme="minorHAnsi"/>
          <w:noProof/>
        </w:rPr>
        <w:drawing>
          <wp:inline distT="0" distB="0" distL="0" distR="0" wp14:anchorId="7175FD0E" wp14:editId="086F3E2C">
            <wp:extent cx="501650" cy="184150"/>
            <wp:effectExtent l="0" t="0" r="0" b="635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1E6" w:rsidRPr="0021365F">
        <w:rPr>
          <w:rFonts w:cstheme="minorHAnsi"/>
          <w:i/>
          <w:iCs/>
        </w:rPr>
        <w:t xml:space="preserve">. </w:t>
      </w:r>
    </w:p>
    <w:p w14:paraId="228FCAAB" w14:textId="11A80963" w:rsidR="007F11C6" w:rsidRPr="005400E8" w:rsidRDefault="002D2F29" w:rsidP="007F11C6">
      <w:pPr>
        <w:shd w:val="clear" w:color="auto" w:fill="FFFFFF"/>
        <w:spacing w:before="100" w:beforeAutospacing="1" w:after="240" w:line="240" w:lineRule="auto"/>
        <w:rPr>
          <w:rFonts w:cstheme="minorHAnsi"/>
          <w:shd w:val="clear" w:color="auto" w:fill="FFFFFF"/>
        </w:rPr>
      </w:pPr>
      <w:r w:rsidRPr="0021365F">
        <w:rPr>
          <w:rFonts w:eastAsia="Times New Roman" w:cstheme="minorHAnsi"/>
          <w:kern w:val="0"/>
          <w14:ligatures w14:val="none"/>
        </w:rPr>
        <w:t xml:space="preserve">Due to the error in the intermediate data file, we </w:t>
      </w:r>
      <w:r w:rsidR="0088140A" w:rsidRPr="0021365F">
        <w:rPr>
          <w:rFonts w:eastAsia="Times New Roman" w:cstheme="minorHAnsi"/>
          <w:kern w:val="0"/>
          <w14:ligatures w14:val="none"/>
        </w:rPr>
        <w:t>re</w:t>
      </w:r>
      <w:r w:rsidR="00DA1201" w:rsidRPr="0021365F">
        <w:rPr>
          <w:rFonts w:eastAsia="Times New Roman" w:cstheme="minorHAnsi"/>
          <w:kern w:val="0"/>
          <w14:ligatures w14:val="none"/>
        </w:rPr>
        <w:t>-</w:t>
      </w:r>
      <w:r w:rsidR="0088140A" w:rsidRPr="0021365F">
        <w:rPr>
          <w:rFonts w:eastAsia="Times New Roman" w:cstheme="minorHAnsi"/>
          <w:kern w:val="0"/>
          <w14:ligatures w14:val="none"/>
        </w:rPr>
        <w:t>completed</w:t>
      </w:r>
      <w:r w:rsidRPr="0021365F">
        <w:rPr>
          <w:rFonts w:eastAsia="Times New Roman" w:cstheme="minorHAnsi"/>
          <w:kern w:val="0"/>
          <w14:ligatures w14:val="none"/>
        </w:rPr>
        <w:t xml:space="preserve"> the </w:t>
      </w:r>
      <w:r w:rsidR="0088140A" w:rsidRPr="0021365F">
        <w:rPr>
          <w:rFonts w:eastAsia="Times New Roman" w:cstheme="minorHAnsi"/>
          <w:kern w:val="0"/>
          <w14:ligatures w14:val="none"/>
        </w:rPr>
        <w:t>analysis</w:t>
      </w:r>
      <w:r w:rsidRPr="0021365F">
        <w:rPr>
          <w:rFonts w:eastAsia="Times New Roman" w:cstheme="minorHAnsi"/>
          <w:kern w:val="0"/>
          <w14:ligatures w14:val="none"/>
        </w:rPr>
        <w:t xml:space="preserve"> from the raw data. Because of this</w:t>
      </w:r>
      <w:r w:rsidR="00DA1201" w:rsidRPr="0021365F">
        <w:rPr>
          <w:rFonts w:eastAsia="Times New Roman" w:cstheme="minorHAnsi"/>
          <w:kern w:val="0"/>
          <w14:ligatures w14:val="none"/>
        </w:rPr>
        <w:t>,</w:t>
      </w:r>
      <w:r w:rsidRPr="0021365F">
        <w:rPr>
          <w:rFonts w:eastAsia="Times New Roman" w:cstheme="minorHAnsi"/>
          <w:kern w:val="0"/>
          <w14:ligatures w14:val="none"/>
        </w:rPr>
        <w:t xml:space="preserve"> </w:t>
      </w:r>
      <w:r w:rsidR="0088140A" w:rsidRPr="0021365F">
        <w:rPr>
          <w:rFonts w:eastAsia="Times New Roman" w:cstheme="minorHAnsi"/>
          <w:kern w:val="0"/>
          <w14:ligatures w14:val="none"/>
        </w:rPr>
        <w:t>w</w:t>
      </w:r>
      <w:r w:rsidR="00B10FB8" w:rsidRPr="0021365F">
        <w:rPr>
          <w:rFonts w:eastAsia="Times New Roman" w:cstheme="minorHAnsi"/>
          <w:kern w:val="0"/>
          <w14:ligatures w14:val="none"/>
        </w:rPr>
        <w:t xml:space="preserve">e </w:t>
      </w:r>
      <w:r w:rsidR="0088140A" w:rsidRPr="0021365F">
        <w:rPr>
          <w:rFonts w:eastAsia="Times New Roman" w:cstheme="minorHAnsi"/>
          <w:kern w:val="0"/>
          <w14:ligatures w14:val="none"/>
        </w:rPr>
        <w:t>used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updated </w:t>
      </w:r>
      <w:r w:rsidR="00DA1201" w:rsidRPr="0021365F">
        <w:rPr>
          <w:rFonts w:eastAsia="Times New Roman" w:cstheme="minorHAnsi"/>
          <w:kern w:val="0"/>
          <w14:ligatures w14:val="none"/>
        </w:rPr>
        <w:t>R</w:t>
      </w:r>
      <w:r w:rsidR="00A67BAB" w:rsidRPr="0021365F">
        <w:rPr>
          <w:rFonts w:eastAsia="Times New Roman" w:cstheme="minorHAnsi"/>
          <w:kern w:val="0"/>
          <w14:ligatures w14:val="none"/>
        </w:rPr>
        <w:t>-packages</w:t>
      </w:r>
      <w:r w:rsidR="0088140A" w:rsidRPr="0021365F">
        <w:rPr>
          <w:rFonts w:eastAsia="Times New Roman" w:cstheme="minorHAnsi"/>
          <w:kern w:val="0"/>
          <w14:ligatures w14:val="none"/>
        </w:rPr>
        <w:t>. We have made the following changes to line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1</w:t>
      </w:r>
      <w:r w:rsidR="005400E8">
        <w:rPr>
          <w:rFonts w:eastAsia="Times New Roman" w:cstheme="minorHAnsi"/>
          <w:kern w:val="0"/>
          <w14:ligatures w14:val="none"/>
        </w:rPr>
        <w:t>92</w:t>
      </w:r>
      <w:r w:rsidR="00A67BAB" w:rsidRPr="0021365F">
        <w:rPr>
          <w:rFonts w:eastAsia="Times New Roman" w:cstheme="minorHAnsi"/>
          <w:kern w:val="0"/>
          <w14:ligatures w14:val="none"/>
        </w:rPr>
        <w:t xml:space="preserve"> </w:t>
      </w:r>
      <w:r w:rsidR="00BE33C6" w:rsidRPr="0021365F">
        <w:rPr>
          <w:rFonts w:eastAsia="Times New Roman" w:cstheme="minorHAnsi"/>
          <w:kern w:val="0"/>
          <w14:ligatures w14:val="none"/>
        </w:rPr>
        <w:t xml:space="preserve">which </w:t>
      </w:r>
      <w:r w:rsidR="00A67BAB" w:rsidRPr="0021365F">
        <w:rPr>
          <w:rFonts w:eastAsia="Times New Roman" w:cstheme="minorHAnsi"/>
          <w:kern w:val="0"/>
          <w14:ligatures w14:val="none"/>
        </w:rPr>
        <w:t>now reads: “</w:t>
      </w:r>
      <w:r w:rsidR="00A67BAB" w:rsidRPr="0021365F">
        <w:rPr>
          <w:rFonts w:cstheme="minorHAnsi"/>
        </w:rPr>
        <w:t>Post-processing of SNPs was completed in R (R Core Team, 2018) using various R-packages (dart</w:t>
      </w:r>
      <w:r w:rsidR="00105539" w:rsidRPr="0021365F">
        <w:rPr>
          <w:rFonts w:cstheme="minorHAnsi"/>
        </w:rPr>
        <w:t>R v.2</w:t>
      </w:r>
      <w:r w:rsidR="00A67BAB" w:rsidRPr="0021365F">
        <w:rPr>
          <w:rFonts w:cstheme="minorHAnsi"/>
        </w:rPr>
        <w:t xml:space="preserve"> (Mijangos et al., 2022), hieferstat (Goudet &amp; Jombart, 2022))”</w:t>
      </w:r>
      <w:r w:rsidR="0088140A" w:rsidRPr="0021365F">
        <w:rPr>
          <w:rFonts w:cstheme="minorHAnsi"/>
        </w:rPr>
        <w:t>, and l</w:t>
      </w:r>
      <w:r w:rsidR="00A977D8" w:rsidRPr="0021365F">
        <w:rPr>
          <w:rFonts w:eastAsia="Times New Roman" w:cstheme="minorHAnsi"/>
          <w:kern w:val="0"/>
          <w14:ligatures w14:val="none"/>
        </w:rPr>
        <w:t xml:space="preserve">ine </w:t>
      </w:r>
      <w:r w:rsidR="007A3B19" w:rsidRPr="0021365F">
        <w:rPr>
          <w:rFonts w:eastAsia="Times New Roman" w:cstheme="minorHAnsi"/>
          <w:kern w:val="0"/>
          <w14:ligatures w14:val="none"/>
        </w:rPr>
        <w:t xml:space="preserve">230-231 was deleted, where it previously read : </w:t>
      </w:r>
      <w:r w:rsidR="0088140A" w:rsidRPr="0021365F">
        <w:rPr>
          <w:rFonts w:eastAsia="Times New Roman" w:cstheme="minorHAnsi"/>
          <w:kern w:val="0"/>
          <w14:ligatures w14:val="none"/>
        </w:rPr>
        <w:t>“</w:t>
      </w:r>
      <w:r w:rsidR="007A3B19" w:rsidRPr="0021365F">
        <w:rPr>
          <w:rFonts w:cstheme="minorHAnsi"/>
        </w:rPr>
        <w:t xml:space="preserve">Hardy-Weinberg equilibrium (HWE) was evaluated using an exact test based on 10,000 </w:t>
      </w:r>
      <w:r w:rsidR="007A3B19" w:rsidRPr="005400E8">
        <w:rPr>
          <w:rFonts w:cstheme="minorHAnsi"/>
          <w:shd w:val="clear" w:color="auto" w:fill="FFFFFF"/>
        </w:rPr>
        <w:t xml:space="preserve">Monte Carlo permutations of alleles and implemented in </w:t>
      </w:r>
      <w:r w:rsidR="007A3B19" w:rsidRPr="005400E8">
        <w:rPr>
          <w:rFonts w:cstheme="minorHAnsi"/>
          <w:i/>
          <w:shd w:val="clear" w:color="auto" w:fill="FFFFFF"/>
        </w:rPr>
        <w:t>Genepop</w:t>
      </w:r>
      <w:r w:rsidR="007A3B19" w:rsidRPr="005400E8">
        <w:rPr>
          <w:rFonts w:cstheme="minorHAnsi"/>
          <w:shd w:val="clear" w:color="auto" w:fill="FFFFFF"/>
        </w:rPr>
        <w:t xml:space="preserve"> </w:t>
      </w:r>
      <w:r w:rsidR="007A3B19" w:rsidRPr="005400E8">
        <w:rPr>
          <w:rFonts w:cstheme="minorHAnsi"/>
          <w:shd w:val="clear" w:color="auto" w:fill="FFFFFF"/>
        </w:rPr>
        <w:fldChar w:fldCharType="begin"/>
      </w:r>
      <w:r w:rsidR="007A3B19" w:rsidRPr="005400E8">
        <w:rPr>
          <w:rFonts w:cstheme="minorHAnsi"/>
          <w:shd w:val="clear" w:color="auto" w:fill="FFFFFF"/>
        </w:rPr>
        <w:instrText xml:space="preserve"> ADDIN ZOTERO_ITEM CSL_CITATION {"citationID":"ZexDKJ3a","properties":{"formattedCitation":"(Rousset, 2008)","plainCitation":"(Rousset, 2008)","noteIndex":0},"citationItems":[{"id":1208,"uris":["http://zotero.org/users/local/wg6A3x9B/items/R8CLTMIW"],"uri":["http://zotero.org/users/local/wg6A3x9B/items/R8CLTMIW"],"itemData":{"id":1208,"type":"article-journal","note":"Citation Key: rousset2008complete\ntex.publisher: genepop","title":"A complete re-implementation of the GENEPOP software for software for teaching and research","author":[{"family":"Rousset","given":"F"}],"issued":{"date-parts":[["2008"]]}}}],"schema":"https://github.com/citation-style-language/schema/raw/master/csl-citation.json"} </w:instrText>
      </w:r>
      <w:r w:rsidR="007A3B19" w:rsidRPr="005400E8">
        <w:rPr>
          <w:rFonts w:cstheme="minorHAnsi"/>
          <w:shd w:val="clear" w:color="auto" w:fill="FFFFFF"/>
        </w:rPr>
        <w:fldChar w:fldCharType="separate"/>
      </w:r>
      <w:r w:rsidR="007A3B19" w:rsidRPr="005400E8">
        <w:rPr>
          <w:rFonts w:cstheme="minorHAnsi"/>
          <w:noProof/>
          <w:shd w:val="clear" w:color="auto" w:fill="FFFFFF"/>
        </w:rPr>
        <w:t>(Rousset, 2008)</w:t>
      </w:r>
      <w:r w:rsidR="007A3B19" w:rsidRPr="005400E8">
        <w:rPr>
          <w:rFonts w:cstheme="minorHAnsi"/>
          <w:shd w:val="clear" w:color="auto" w:fill="FFFFFF"/>
        </w:rPr>
        <w:fldChar w:fldCharType="end"/>
      </w:r>
      <w:r w:rsidR="007A3B19" w:rsidRPr="005400E8">
        <w:rPr>
          <w:rFonts w:cstheme="minorHAnsi"/>
          <w:shd w:val="clear" w:color="auto" w:fill="FFFFFF"/>
        </w:rPr>
        <w:t>.</w:t>
      </w:r>
      <w:r w:rsidR="0088140A" w:rsidRPr="005400E8">
        <w:rPr>
          <w:rFonts w:cstheme="minorHAnsi"/>
          <w:shd w:val="clear" w:color="auto" w:fill="FFFFFF"/>
        </w:rPr>
        <w:t>”</w:t>
      </w:r>
    </w:p>
    <w:p w14:paraId="3FB32DEE" w14:textId="376E291F" w:rsidR="00777B2E" w:rsidRPr="0021365F" w:rsidRDefault="00777B2E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5400E8">
        <w:rPr>
          <w:rFonts w:cstheme="minorHAnsi"/>
          <w:shd w:val="clear" w:color="auto" w:fill="FFFFFF"/>
        </w:rPr>
        <w:t xml:space="preserve">Line </w:t>
      </w:r>
      <w:r w:rsidR="005400E8" w:rsidRPr="005400E8">
        <w:rPr>
          <w:rFonts w:cstheme="minorHAnsi"/>
          <w:shd w:val="clear" w:color="auto" w:fill="FFFFFF"/>
        </w:rPr>
        <w:t xml:space="preserve">220 </w:t>
      </w:r>
      <w:r w:rsidRPr="005400E8">
        <w:rPr>
          <w:rFonts w:cstheme="minorHAnsi"/>
          <w:shd w:val="clear" w:color="auto" w:fill="FFFFFF"/>
        </w:rPr>
        <w:t>was added and it reads “</w:t>
      </w:r>
      <w:r w:rsidR="005400E8" w:rsidRPr="005400E8">
        <w:rPr>
          <w:rFonts w:cstheme="minorHAnsi"/>
          <w:color w:val="000000" w:themeColor="text1"/>
          <w:shd w:val="clear" w:color="auto" w:fill="FFFFFF"/>
        </w:rPr>
        <w:t>We use the method of Luikart et al., (2020) (ordinary least squares regression), and Generalized least-squares (GLS regression) that incorporates an estimate of autocorrelation, to test the significance of a trend in Nb estimates across cohorts</w:t>
      </w:r>
      <w:r w:rsidR="005400E8" w:rsidRPr="005400E8">
        <w:rPr>
          <w:rFonts w:cstheme="minorHAnsi"/>
          <w:shd w:val="clear" w:color="auto" w:fill="FFFFFF"/>
        </w:rPr>
        <w:t>”</w:t>
      </w:r>
    </w:p>
    <w:p w14:paraId="484331CB" w14:textId="7F8241CB" w:rsidR="003A1E8D" w:rsidRPr="0021365F" w:rsidRDefault="003A1E8D" w:rsidP="007F11C6">
      <w:pPr>
        <w:shd w:val="clear" w:color="auto" w:fill="FFFFFF"/>
        <w:spacing w:before="100" w:beforeAutospacing="1" w:after="240" w:line="240" w:lineRule="auto"/>
        <w:rPr>
          <w:rFonts w:cstheme="minorHAnsi"/>
        </w:rPr>
      </w:pPr>
      <w:r w:rsidRPr="0021365F">
        <w:rPr>
          <w:rFonts w:cstheme="minorHAnsi"/>
          <w:shd w:val="clear" w:color="auto" w:fill="FFFFFF"/>
        </w:rPr>
        <w:t xml:space="preserve">For our analysis, cohorts required a sample size of </w:t>
      </w:r>
      <w:r w:rsidR="00744089" w:rsidRPr="0021365F">
        <w:rPr>
          <w:rFonts w:cstheme="minorHAnsi"/>
          <w:shd w:val="clear" w:color="auto" w:fill="FFFFFF"/>
        </w:rPr>
        <w:t xml:space="preserve">&gt; </w:t>
      </w:r>
      <w:r w:rsidRPr="0021365F">
        <w:rPr>
          <w:rFonts w:cstheme="minorHAnsi"/>
          <w:shd w:val="clear" w:color="auto" w:fill="FFFFFF"/>
        </w:rPr>
        <w:t xml:space="preserve">25. Where groups had less </w:t>
      </w:r>
      <w:r w:rsidR="008A74D8" w:rsidRPr="0021365F">
        <w:rPr>
          <w:rFonts w:cstheme="minorHAnsi"/>
          <w:shd w:val="clear" w:color="auto" w:fill="FFFFFF"/>
        </w:rPr>
        <w:t xml:space="preserve">than </w:t>
      </w:r>
      <w:r w:rsidRPr="0021365F">
        <w:rPr>
          <w:rFonts w:cstheme="minorHAnsi"/>
          <w:shd w:val="clear" w:color="auto" w:fill="FFFFFF"/>
        </w:rPr>
        <w:t xml:space="preserve">the required </w:t>
      </w:r>
      <w:r w:rsidR="008A74D8" w:rsidRPr="0021365F">
        <w:rPr>
          <w:rFonts w:cstheme="minorHAnsi"/>
          <w:shd w:val="clear" w:color="auto" w:fill="FFFFFF"/>
        </w:rPr>
        <w:t xml:space="preserve">number of </w:t>
      </w:r>
      <w:r w:rsidRPr="0021365F">
        <w:rPr>
          <w:rFonts w:cstheme="minorHAnsi"/>
          <w:shd w:val="clear" w:color="auto" w:fill="FFFFFF"/>
        </w:rPr>
        <w:t xml:space="preserve">samples, we have added </w:t>
      </w:r>
      <w:r w:rsidR="00855D5D" w:rsidRPr="0021365F">
        <w:rPr>
          <w:rFonts w:cstheme="minorHAnsi"/>
          <w:shd w:val="clear" w:color="auto" w:fill="FFFFFF"/>
        </w:rPr>
        <w:t xml:space="preserve">an additional Supplementary Appendix (Supplementary Appendix </w:t>
      </w:r>
      <w:r w:rsidR="00744089" w:rsidRPr="0021365F">
        <w:rPr>
          <w:rFonts w:cstheme="minorHAnsi"/>
          <w:shd w:val="clear" w:color="auto" w:fill="FFFFFF"/>
        </w:rPr>
        <w:t>5, Table S5.1</w:t>
      </w:r>
      <w:r w:rsidR="00855D5D" w:rsidRPr="0021365F">
        <w:rPr>
          <w:rFonts w:cstheme="minorHAnsi"/>
          <w:shd w:val="clear" w:color="auto" w:fill="FFFFFF"/>
        </w:rPr>
        <w:t xml:space="preserve">) where interested readers can find the results for cohorts not included in the main </w:t>
      </w:r>
      <w:r w:rsidR="00D77F81" w:rsidRPr="0021365F">
        <w:rPr>
          <w:rFonts w:cstheme="minorHAnsi"/>
          <w:shd w:val="clear" w:color="auto" w:fill="FFFFFF"/>
        </w:rPr>
        <w:t>analysis</w:t>
      </w:r>
      <w:r w:rsidR="00855D5D" w:rsidRPr="0021365F">
        <w:rPr>
          <w:rFonts w:cstheme="minorHAnsi"/>
          <w:shd w:val="clear" w:color="auto" w:fill="FFFFFF"/>
        </w:rPr>
        <w:t xml:space="preserve">. To direct readers to this resource, line </w:t>
      </w:r>
      <w:r w:rsidR="005400E8">
        <w:rPr>
          <w:rFonts w:cstheme="minorHAnsi"/>
          <w:shd w:val="clear" w:color="auto" w:fill="FFFFFF"/>
        </w:rPr>
        <w:t>268</w:t>
      </w:r>
      <w:r w:rsidR="00855D5D" w:rsidRPr="0021365F">
        <w:rPr>
          <w:rFonts w:cstheme="minorHAnsi"/>
          <w:shd w:val="clear" w:color="auto" w:fill="FFFFFF"/>
        </w:rPr>
        <w:t xml:space="preserve"> now states: </w:t>
      </w:r>
      <w:bookmarkStart w:id="4" w:name="_Hlk167287895"/>
      <w:r w:rsidR="00BE33C6" w:rsidRPr="0021365F">
        <w:rPr>
          <w:rFonts w:cstheme="minorHAnsi"/>
          <w:shd w:val="clear" w:color="auto" w:fill="FFFFFF"/>
        </w:rPr>
        <w:t>“</w:t>
      </w:r>
      <w:r w:rsidR="00855D5D" w:rsidRPr="0021365F">
        <w:rPr>
          <w:rFonts w:cstheme="minorHAnsi"/>
        </w:rPr>
        <w:t>Where the sample size of a cohort was less than 25, results are reported in Supplementary</w:t>
      </w:r>
      <w:r w:rsidR="00744089" w:rsidRPr="0021365F">
        <w:rPr>
          <w:rFonts w:cstheme="minorHAnsi"/>
        </w:rPr>
        <w:t xml:space="preserve"> Table S5.1</w:t>
      </w:r>
      <w:r w:rsidR="00855D5D" w:rsidRPr="0021365F">
        <w:rPr>
          <w:rFonts w:cstheme="minorHAnsi"/>
        </w:rPr>
        <w:t>.</w:t>
      </w:r>
      <w:bookmarkEnd w:id="4"/>
      <w:r w:rsidR="00BE33C6" w:rsidRPr="0021365F">
        <w:rPr>
          <w:rFonts w:cstheme="minorHAnsi"/>
        </w:rPr>
        <w:t>”</w:t>
      </w:r>
    </w:p>
    <w:p w14:paraId="5C100226" w14:textId="08CF8213" w:rsidR="008321F5" w:rsidRPr="004B376B" w:rsidRDefault="00CE5B11" w:rsidP="008D2399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4B376B">
        <w:rPr>
          <w:rFonts w:asciiTheme="minorHAnsi" w:hAnsiTheme="minorHAnsi" w:cstheme="minorHAnsi"/>
          <w:sz w:val="22"/>
          <w:szCs w:val="22"/>
        </w:rPr>
        <w:t xml:space="preserve">We </w:t>
      </w:r>
      <w:r w:rsidR="002C06D3" w:rsidRPr="004B376B">
        <w:rPr>
          <w:rFonts w:asciiTheme="minorHAnsi" w:hAnsiTheme="minorHAnsi" w:cstheme="minorHAnsi"/>
          <w:sz w:val="22"/>
          <w:szCs w:val="22"/>
        </w:rPr>
        <w:t xml:space="preserve">have </w:t>
      </w:r>
      <w:r w:rsidRPr="004B376B">
        <w:rPr>
          <w:rFonts w:asciiTheme="minorHAnsi" w:hAnsiTheme="minorHAnsi" w:cstheme="minorHAnsi"/>
          <w:sz w:val="22"/>
          <w:szCs w:val="22"/>
        </w:rPr>
        <w:t>added a line</w:t>
      </w:r>
      <w:r w:rsidR="00F80B1C" w:rsidRPr="004B376B">
        <w:rPr>
          <w:rFonts w:asciiTheme="minorHAnsi" w:hAnsiTheme="minorHAnsi" w:cstheme="minorHAnsi"/>
          <w:sz w:val="22"/>
          <w:szCs w:val="22"/>
        </w:rPr>
        <w:t xml:space="preserve"> of text at</w:t>
      </w:r>
      <w:r w:rsidR="00581AA5" w:rsidRPr="004B376B">
        <w:rPr>
          <w:rFonts w:asciiTheme="minorHAnsi" w:hAnsiTheme="minorHAnsi" w:cstheme="minorHAnsi"/>
          <w:sz w:val="22"/>
          <w:szCs w:val="22"/>
        </w:rPr>
        <w:t xml:space="preserve"> </w:t>
      </w:r>
      <w:r w:rsidR="00F80B1C" w:rsidRPr="004B376B">
        <w:rPr>
          <w:rFonts w:asciiTheme="minorHAnsi" w:hAnsiTheme="minorHAnsi" w:cstheme="minorHAnsi"/>
          <w:sz w:val="22"/>
          <w:szCs w:val="22"/>
        </w:rPr>
        <w:t xml:space="preserve">to acknowledge </w:t>
      </w:r>
      <w:r w:rsidR="008D2399" w:rsidRPr="004B376B">
        <w:rPr>
          <w:rFonts w:asciiTheme="minorHAnsi" w:hAnsiTheme="minorHAnsi" w:cstheme="minorHAnsi"/>
          <w:sz w:val="22"/>
          <w:szCs w:val="22"/>
        </w:rPr>
        <w:t xml:space="preserve">our colleagues who brought this error to our attention. The lines </w:t>
      </w:r>
      <w:r w:rsidR="005400E8" w:rsidRPr="004B376B">
        <w:rPr>
          <w:rFonts w:asciiTheme="minorHAnsi" w:hAnsiTheme="minorHAnsi" w:cstheme="minorHAnsi"/>
          <w:sz w:val="22"/>
          <w:szCs w:val="22"/>
        </w:rPr>
        <w:t>523</w:t>
      </w:r>
      <w:r w:rsidR="00581AA5" w:rsidRPr="004B376B">
        <w:rPr>
          <w:rFonts w:asciiTheme="minorHAnsi" w:hAnsiTheme="minorHAnsi" w:cstheme="minorHAnsi"/>
          <w:sz w:val="22"/>
          <w:szCs w:val="22"/>
        </w:rPr>
        <w:t xml:space="preserve"> now</w:t>
      </w:r>
      <w:r w:rsidR="008D2399" w:rsidRPr="004B376B">
        <w:rPr>
          <w:rFonts w:asciiTheme="minorHAnsi" w:hAnsiTheme="minorHAnsi" w:cstheme="minorHAnsi"/>
          <w:sz w:val="22"/>
          <w:szCs w:val="22"/>
        </w:rPr>
        <w:t xml:space="preserve"> read: “</w:t>
      </w:r>
      <w:r w:rsidR="005400E8" w:rsidRPr="004B376B">
        <w:rPr>
          <w:sz w:val="22"/>
          <w:szCs w:val="22"/>
        </w:rPr>
        <w:t xml:space="preserve">We acknowledge Dean Blower and Paul Butcher who identified an error in the original published version of this MS. Dean Blower </w:t>
      </w:r>
      <w:r w:rsidR="007C681C">
        <w:rPr>
          <w:sz w:val="22"/>
          <w:szCs w:val="22"/>
        </w:rPr>
        <w:t xml:space="preserve">was added to the authorship list </w:t>
      </w:r>
      <w:r w:rsidR="005400E8" w:rsidRPr="004B376B">
        <w:rPr>
          <w:sz w:val="22"/>
          <w:szCs w:val="22"/>
        </w:rPr>
        <w:t>after publication to recognise his finding of the error</w:t>
      </w:r>
      <w:r w:rsidR="008073AA" w:rsidRPr="004B376B">
        <w:rPr>
          <w:rFonts w:asciiTheme="minorHAnsi" w:hAnsiTheme="minorHAnsi" w:cstheme="minorHAnsi"/>
          <w:sz w:val="22"/>
          <w:szCs w:val="22"/>
        </w:rPr>
        <w:t>.</w:t>
      </w:r>
      <w:r w:rsidR="005400E8" w:rsidRPr="004B376B">
        <w:rPr>
          <w:rFonts w:asciiTheme="minorHAnsi" w:hAnsiTheme="minorHAnsi" w:cstheme="minorHAnsi"/>
          <w:sz w:val="22"/>
          <w:szCs w:val="22"/>
        </w:rPr>
        <w:t>”</w:t>
      </w:r>
      <w:r w:rsidR="008073AA" w:rsidRPr="004B376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ABA8F2A" w14:textId="377C1470" w:rsidR="008321F5" w:rsidRPr="0021365F" w:rsidRDefault="008321F5" w:rsidP="007F11C6">
      <w:pPr>
        <w:shd w:val="clear" w:color="auto" w:fill="FFFFFF"/>
        <w:spacing w:before="100" w:beforeAutospacing="1" w:after="24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cstheme="minorHAnsi"/>
        </w:rPr>
        <w:t xml:space="preserve">All scripts and data used in this reanalysis are available online. Line </w:t>
      </w:r>
      <w:r w:rsidR="00BF30C3" w:rsidRPr="0021365F">
        <w:rPr>
          <w:rFonts w:cstheme="minorHAnsi"/>
        </w:rPr>
        <w:t>326 now reads “</w:t>
      </w:r>
      <w:r w:rsidRPr="0021365F">
        <w:rPr>
          <w:rFonts w:cstheme="minorHAnsi"/>
        </w:rPr>
        <w:t>Data for this study are available at zendoo</w:t>
      </w:r>
      <w:r w:rsidR="00932D67">
        <w:rPr>
          <w:rFonts w:cstheme="minorHAnsi"/>
        </w:rPr>
        <w:t xml:space="preserve"> </w:t>
      </w:r>
      <w:hyperlink r:id="rId14" w:history="1">
        <w:r w:rsidR="00932D67" w:rsidRPr="00B434C0">
          <w:rPr>
            <w:rStyle w:val="Hyperlink"/>
            <w:rFonts w:ascii="Helvetica" w:hAnsi="Helvetica" w:cs="Helvetica"/>
            <w:sz w:val="21"/>
            <w:szCs w:val="21"/>
            <w:shd w:val="clear" w:color="auto" w:fill="F5F5F5"/>
          </w:rPr>
          <w:t>https://doi.org/10.5281/zenodo.10172611</w:t>
        </w:r>
      </w:hyperlink>
      <w:r w:rsidR="00BF30C3" w:rsidRPr="0021365F">
        <w:rPr>
          <w:rFonts w:cstheme="minorHAnsi"/>
        </w:rPr>
        <w:t xml:space="preserve">”. </w:t>
      </w:r>
    </w:p>
    <w:p w14:paraId="0A7CC783" w14:textId="5ADB5A46" w:rsidR="00A65425" w:rsidRPr="0021365F" w:rsidRDefault="007F11C6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21365F">
        <w:rPr>
          <w:rFonts w:eastAsia="Times New Roman" w:cstheme="minorHAnsi"/>
          <w:kern w:val="0"/>
          <w14:ligatures w14:val="none"/>
        </w:rPr>
        <w:t>We apologize for this error.</w:t>
      </w:r>
    </w:p>
    <w:p w14:paraId="5A40CA0B" w14:textId="77777777" w:rsidR="0048397C" w:rsidRPr="0021365F" w:rsidRDefault="0048397C" w:rsidP="0048397C">
      <w:pPr>
        <w:shd w:val="clear" w:color="auto" w:fill="FFFFFF"/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4BA75BB" w14:textId="183232F2" w:rsidR="007F11C6" w:rsidRPr="0021365F" w:rsidRDefault="007F11C6">
      <w:pPr>
        <w:rPr>
          <w:rFonts w:cstheme="minorHAnsi"/>
        </w:rPr>
      </w:pPr>
      <w:r w:rsidRPr="0021365F">
        <w:rPr>
          <w:rFonts w:cstheme="minorHAnsi"/>
        </w:rPr>
        <w:t>Dani Davenport</w:t>
      </w:r>
    </w:p>
    <w:p w14:paraId="145F19B3" w14:textId="6B31BE81" w:rsidR="00313A18" w:rsidRPr="001B1F3D" w:rsidRDefault="00313A18" w:rsidP="004B2E77">
      <w:pPr>
        <w:rPr>
          <w:rFonts w:cstheme="minorHAnsi"/>
        </w:rPr>
      </w:pPr>
    </w:p>
    <w:sectPr w:rsidR="00313A18" w:rsidRPr="001B1F3D" w:rsidSect="004B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Davenport, Danielle" w:date="2024-05-23T19:12:00Z" w:initials="DD">
    <w:p w14:paraId="0C5AAE7B" w14:textId="77777777" w:rsidR="005400E8" w:rsidRDefault="005400E8" w:rsidP="005400E8">
      <w:pPr>
        <w:pStyle w:val="CommentText"/>
      </w:pPr>
      <w:r>
        <w:rPr>
          <w:rStyle w:val="CommentReference"/>
        </w:rPr>
        <w:annotationRef/>
      </w:r>
      <w:r>
        <w:t xml:space="preserve">deleted " such that </w:t>
      </w:r>
      <w:r>
        <w:rPr>
          <w:noProof/>
        </w:rPr>
        <w:drawing>
          <wp:inline distT="0" distB="0" distL="0" distR="0" wp14:anchorId="0DE46A25" wp14:editId="0EC8CF88">
            <wp:extent cx="514376" cy="177809"/>
            <wp:effectExtent l="0" t="0" r="0" b="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was lower compared to</w:t>
      </w:r>
      <w:r>
        <w:rPr>
          <w:i/>
          <w:iCs/>
        </w:rPr>
        <w:t xml:space="preserve"> </w:t>
      </w:r>
      <w:r>
        <w:rPr>
          <w:noProof/>
        </w:rPr>
        <w:drawing>
          <wp:inline distT="0" distB="0" distL="0" distR="0" wp14:anchorId="48CE4FD3" wp14:editId="2DD92D11">
            <wp:extent cx="501676" cy="177809"/>
            <wp:effectExtent l="0" t="0" r="0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" was deleted as this is no longer reflected in the result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5AAE7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A13B8" w16cex:dateUtc="2024-05-23T22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AAE7B" w16cid:durableId="29FA13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enport, Danielle">
    <w15:presenceInfo w15:providerId="AD" w15:userId="S::Danielle.Davenport@dfo-mpo.gc.ca::3eb16ec7-774a-40fd-acf5-5580596a4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C6"/>
    <w:rsid w:val="000417AD"/>
    <w:rsid w:val="00051766"/>
    <w:rsid w:val="00060E0A"/>
    <w:rsid w:val="00090291"/>
    <w:rsid w:val="00105539"/>
    <w:rsid w:val="001460A1"/>
    <w:rsid w:val="001749B4"/>
    <w:rsid w:val="001B1F3D"/>
    <w:rsid w:val="0021365F"/>
    <w:rsid w:val="00230737"/>
    <w:rsid w:val="00295663"/>
    <w:rsid w:val="002C06D3"/>
    <w:rsid w:val="002D2F29"/>
    <w:rsid w:val="002E1EA0"/>
    <w:rsid w:val="00313A18"/>
    <w:rsid w:val="003A1E8D"/>
    <w:rsid w:val="003D38CA"/>
    <w:rsid w:val="00402D33"/>
    <w:rsid w:val="00471320"/>
    <w:rsid w:val="0048397C"/>
    <w:rsid w:val="004B2E77"/>
    <w:rsid w:val="004B376B"/>
    <w:rsid w:val="004C1150"/>
    <w:rsid w:val="004D5C37"/>
    <w:rsid w:val="0052495B"/>
    <w:rsid w:val="005400E8"/>
    <w:rsid w:val="00581AA5"/>
    <w:rsid w:val="0060393A"/>
    <w:rsid w:val="006440AD"/>
    <w:rsid w:val="00650C87"/>
    <w:rsid w:val="00656745"/>
    <w:rsid w:val="00673608"/>
    <w:rsid w:val="006A4D3B"/>
    <w:rsid w:val="006E6D86"/>
    <w:rsid w:val="007005D5"/>
    <w:rsid w:val="00720F30"/>
    <w:rsid w:val="00744089"/>
    <w:rsid w:val="0075651D"/>
    <w:rsid w:val="00777B2E"/>
    <w:rsid w:val="00792D14"/>
    <w:rsid w:val="007A3B19"/>
    <w:rsid w:val="007C21E6"/>
    <w:rsid w:val="007C681C"/>
    <w:rsid w:val="007D143E"/>
    <w:rsid w:val="007F11C6"/>
    <w:rsid w:val="008073AA"/>
    <w:rsid w:val="008321F5"/>
    <w:rsid w:val="00855D5D"/>
    <w:rsid w:val="0088140A"/>
    <w:rsid w:val="00882D36"/>
    <w:rsid w:val="008A74D8"/>
    <w:rsid w:val="008D2399"/>
    <w:rsid w:val="00932D67"/>
    <w:rsid w:val="009464F0"/>
    <w:rsid w:val="009D3BE5"/>
    <w:rsid w:val="00A15A0D"/>
    <w:rsid w:val="00A30313"/>
    <w:rsid w:val="00A65425"/>
    <w:rsid w:val="00A67BAB"/>
    <w:rsid w:val="00A977D8"/>
    <w:rsid w:val="00B10FB8"/>
    <w:rsid w:val="00BE33C6"/>
    <w:rsid w:val="00BF30C3"/>
    <w:rsid w:val="00C13917"/>
    <w:rsid w:val="00C54C7A"/>
    <w:rsid w:val="00C716B4"/>
    <w:rsid w:val="00CE5B11"/>
    <w:rsid w:val="00D77F81"/>
    <w:rsid w:val="00DA1201"/>
    <w:rsid w:val="00E41EDE"/>
    <w:rsid w:val="00E55A06"/>
    <w:rsid w:val="00E92569"/>
    <w:rsid w:val="00EB5A0E"/>
    <w:rsid w:val="00F80B1C"/>
    <w:rsid w:val="00FC49B4"/>
    <w:rsid w:val="00FD55F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1C7C"/>
  <w15:docId w15:val="{197C5990-C6B8-43F2-9FCA-D7DD132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11C6"/>
    <w:rPr>
      <w:color w:val="0000FF"/>
      <w:u w:val="single"/>
    </w:rPr>
  </w:style>
  <w:style w:type="paragraph" w:customStyle="1" w:styleId="Standard">
    <w:name w:val="Standard"/>
    <w:rsid w:val="007A3B19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kern w:val="0"/>
      <w:sz w:val="24"/>
      <w:szCs w:val="24"/>
      <w:lang w:val="en-GB" w:eastAsia="zh-CN" w:bidi="hi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D77F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F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F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F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F81"/>
    <w:rPr>
      <w:b/>
      <w:bCs/>
      <w:sz w:val="20"/>
      <w:szCs w:val="20"/>
    </w:rPr>
  </w:style>
  <w:style w:type="character" w:customStyle="1" w:styleId="cf01">
    <w:name w:val="cf01"/>
    <w:basedOn w:val="DefaultParagraphFont"/>
    <w:rsid w:val="006A4D3B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6A4D3B"/>
    <w:rPr>
      <w:rFonts w:ascii="Segoe UI" w:hAnsi="Segoe UI" w:cs="Segoe UI" w:hint="default"/>
      <w:sz w:val="18"/>
      <w:szCs w:val="18"/>
      <w:u w:val="single"/>
    </w:rPr>
  </w:style>
  <w:style w:type="paragraph" w:styleId="Revision">
    <w:name w:val="Revision"/>
    <w:hidden/>
    <w:uiPriority w:val="99"/>
    <w:semiHidden/>
    <w:rsid w:val="00720F3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32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16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doi.org/10.5281/zenodo.101726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3771-0F42-449E-AA84-0FE27C7C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Davenport, Danielle</dc:creator>
  <cp:keywords/>
  <dc:description/>
  <cp:lastModifiedBy>Davenport, Danielle</cp:lastModifiedBy>
  <cp:revision>20</cp:revision>
  <dcterms:created xsi:type="dcterms:W3CDTF">2024-05-27T16:58:00Z</dcterms:created>
  <dcterms:modified xsi:type="dcterms:W3CDTF">2024-06-11T00:40:00Z</dcterms:modified>
</cp:coreProperties>
</file>