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39E3" w14:textId="77777777" w:rsidR="00D21B0F" w:rsidRPr="00182DA0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MX"/>
        </w:rPr>
      </w:pPr>
      <w:r w:rsidRPr="00182DA0">
        <w:rPr>
          <w:rFonts w:ascii="Arial" w:hAnsi="Arial" w:cs="Arial"/>
          <w:color w:val="auto"/>
          <w:sz w:val="24"/>
          <w:szCs w:val="24"/>
          <w:lang w:val="es-MX"/>
        </w:rPr>
        <w:t xml:space="preserve">Vibe </w:t>
      </w:r>
      <w:proofErr w:type="spellStart"/>
      <w:r w:rsidRPr="00182DA0">
        <w:rPr>
          <w:rFonts w:ascii="Arial" w:hAnsi="Arial" w:cs="Arial"/>
          <w:color w:val="auto"/>
          <w:sz w:val="24"/>
          <w:szCs w:val="24"/>
          <w:lang w:val="es-MX"/>
        </w:rPr>
        <w:t>Coding</w:t>
      </w:r>
      <w:proofErr w:type="spellEnd"/>
      <w:r w:rsidRPr="00182DA0">
        <w:rPr>
          <w:rFonts w:ascii="Arial" w:hAnsi="Arial" w:cs="Arial"/>
          <w:color w:val="auto"/>
          <w:sz w:val="24"/>
          <w:szCs w:val="24"/>
          <w:lang w:val="es-MX"/>
        </w:rPr>
        <w:t xml:space="preserve"> con IA</w:t>
      </w:r>
    </w:p>
    <w:p w14:paraId="7CDF837E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Esta sección documenta cómo se usó la IA como copiloto en el diseño arquitectural de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CleanPro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. Se ejecutaron los cinco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prompts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de apoyo de la actividad (patrones, dominio, Service Layer, SOLID y diagramas). Cada uno se completó con información de la Unidad 2 (contexto del caso, BRD, historias de usuario con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Gherkin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, glosario y BPMN) y cada respuesta se contrastó con el diseño del equipo. Cada iteración sigue el ciclo de la actividad: preparar contexto, solicitar propuesta, comparar, corregir, validar y registrar.</w:t>
      </w:r>
    </w:p>
    <w:p w14:paraId="752AEAFF" w14:textId="77777777" w:rsidR="00182DA0" w:rsidRPr="00182DA0" w:rsidRDefault="00000000">
      <w:pPr>
        <w:rPr>
          <w:rFonts w:ascii="Arial" w:hAnsi="Arial" w:cs="Arial"/>
          <w:b/>
          <w:bCs/>
          <w:iCs/>
          <w:sz w:val="24"/>
          <w:szCs w:val="24"/>
          <w:lang w:val="es-MX"/>
        </w:rPr>
      </w:pPr>
      <w:r w:rsidRPr="00182DA0">
        <w:rPr>
          <w:rFonts w:ascii="Arial" w:hAnsi="Arial" w:cs="Arial"/>
          <w:b/>
          <w:bCs/>
          <w:iCs/>
          <w:sz w:val="24"/>
          <w:szCs w:val="24"/>
          <w:lang w:val="es-MX"/>
        </w:rPr>
        <w:t xml:space="preserve">Fuentes de contexto usadas en todas las iteraciones: </w:t>
      </w:r>
    </w:p>
    <w:p w14:paraId="25C4644C" w14:textId="05D56D19" w:rsidR="00182DA0" w:rsidRDefault="00000000">
      <w:pPr>
        <w:rPr>
          <w:rFonts w:ascii="Arial" w:hAnsi="Arial" w:cs="Arial"/>
          <w:iCs/>
          <w:sz w:val="24"/>
          <w:szCs w:val="24"/>
          <w:lang w:val="es-MX"/>
        </w:rPr>
      </w:pPr>
      <w:proofErr w:type="spellStart"/>
      <w:r w:rsidRPr="00182DA0">
        <w:rPr>
          <w:rFonts w:ascii="Arial" w:hAnsi="Arial" w:cs="Arial"/>
          <w:iCs/>
          <w:sz w:val="24"/>
          <w:szCs w:val="24"/>
        </w:rPr>
        <w:t>CleanPro</w:t>
      </w:r>
      <w:proofErr w:type="spellEnd"/>
      <w:r w:rsidRPr="00182DA0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182DA0">
        <w:rPr>
          <w:rFonts w:ascii="Arial" w:hAnsi="Arial" w:cs="Arial"/>
          <w:iCs/>
          <w:sz w:val="24"/>
          <w:szCs w:val="24"/>
        </w:rPr>
        <w:t>caso</w:t>
      </w:r>
      <w:proofErr w:type="spellEnd"/>
      <w:r w:rsidRPr="00182DA0">
        <w:rPr>
          <w:rFonts w:ascii="Arial" w:hAnsi="Arial" w:cs="Arial"/>
          <w:iCs/>
          <w:sz w:val="24"/>
          <w:szCs w:val="24"/>
        </w:rPr>
        <w:t xml:space="preserve"> 12), BRD, User Stories US-01 a US-19, </w:t>
      </w:r>
      <w:proofErr w:type="spellStart"/>
      <w:r w:rsidRPr="00182DA0">
        <w:rPr>
          <w:rFonts w:ascii="Arial" w:hAnsi="Arial" w:cs="Arial"/>
          <w:iCs/>
          <w:sz w:val="24"/>
          <w:szCs w:val="24"/>
        </w:rPr>
        <w:t>Glosario</w:t>
      </w:r>
      <w:proofErr w:type="spellEnd"/>
      <w:r w:rsidRPr="00182DA0">
        <w:rPr>
          <w:rFonts w:ascii="Arial" w:hAnsi="Arial" w:cs="Arial"/>
          <w:iCs/>
          <w:sz w:val="24"/>
          <w:szCs w:val="24"/>
        </w:rPr>
        <w:t xml:space="preserve"> y BPMN. </w:t>
      </w:r>
      <w:r w:rsidRPr="00182DA0">
        <w:rPr>
          <w:rFonts w:ascii="Arial" w:hAnsi="Arial" w:cs="Arial"/>
          <w:iCs/>
          <w:sz w:val="24"/>
          <w:szCs w:val="24"/>
          <w:lang w:val="es-MX"/>
        </w:rPr>
        <w:t>Nomenclatura de reglas: BR-01 cotización sin cuadrilla definitiva; BR-02 confirmación un día antes; BR-03 ausencias; BR-04 extras y catálogo; BR-05 ajuste por inmueble mayor; BR-06 reprogramación; BR-07 cierre para facturación; BR-08 modificación o cancelación. RNF-01 visibilidad de cambios; RNF-02 permisos por rol; RNF-03 historial de cambios; RNF-04 políticas configurables.</w:t>
      </w:r>
    </w:p>
    <w:p w14:paraId="67C70736" w14:textId="77777777" w:rsidR="00182DA0" w:rsidRDefault="00182DA0">
      <w:pPr>
        <w:rPr>
          <w:rFonts w:ascii="Arial" w:hAnsi="Arial" w:cs="Arial"/>
          <w:iCs/>
          <w:sz w:val="24"/>
          <w:szCs w:val="24"/>
          <w:lang w:val="es-MX"/>
        </w:rPr>
      </w:pPr>
      <w:r>
        <w:rPr>
          <w:rFonts w:ascii="Arial" w:hAnsi="Arial" w:cs="Arial"/>
          <w:iCs/>
          <w:sz w:val="24"/>
          <w:szCs w:val="24"/>
          <w:lang w:val="es-MX"/>
        </w:rPr>
        <w:br w:type="page"/>
      </w:r>
    </w:p>
    <w:p w14:paraId="599009D1" w14:textId="77777777" w:rsidR="00D21B0F" w:rsidRPr="00182DA0" w:rsidRDefault="00D21B0F">
      <w:pPr>
        <w:rPr>
          <w:rFonts w:ascii="Arial" w:hAnsi="Arial" w:cs="Arial"/>
          <w:iCs/>
          <w:sz w:val="24"/>
          <w:szCs w:val="24"/>
          <w:lang w:val="es-MX"/>
        </w:rPr>
      </w:pPr>
    </w:p>
    <w:p w14:paraId="7A488442" w14:textId="77777777" w:rsidR="00D21B0F" w:rsidRPr="00182DA0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proofErr w:type="spellStart"/>
      <w:r w:rsidRPr="00182DA0">
        <w:rPr>
          <w:rFonts w:ascii="Arial" w:hAnsi="Arial" w:cs="Arial"/>
          <w:color w:val="auto"/>
          <w:sz w:val="24"/>
          <w:szCs w:val="24"/>
        </w:rPr>
        <w:t>Resumen</w:t>
      </w:r>
      <w:proofErr w:type="spellEnd"/>
      <w:r w:rsidRPr="00182DA0">
        <w:rPr>
          <w:rFonts w:ascii="Arial" w:hAnsi="Arial" w:cs="Arial"/>
          <w:color w:val="auto"/>
          <w:sz w:val="24"/>
          <w:szCs w:val="24"/>
        </w:rPr>
        <w:t xml:space="preserve"> de la </w:t>
      </w:r>
      <w:proofErr w:type="spellStart"/>
      <w:r w:rsidRPr="00182DA0">
        <w:rPr>
          <w:rFonts w:ascii="Arial" w:hAnsi="Arial" w:cs="Arial"/>
          <w:color w:val="auto"/>
          <w:sz w:val="24"/>
          <w:szCs w:val="24"/>
        </w:rPr>
        <w:t>bitácora</w:t>
      </w:r>
      <w:proofErr w:type="spellEnd"/>
    </w:p>
    <w:tbl>
      <w:tblPr>
        <w:tblStyle w:val="Tablaconcuadrcula4-nfasis1"/>
        <w:tblW w:w="11766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1277"/>
        <w:gridCol w:w="1417"/>
        <w:gridCol w:w="1560"/>
        <w:gridCol w:w="1984"/>
        <w:gridCol w:w="2977"/>
        <w:gridCol w:w="2551"/>
      </w:tblGrid>
      <w:tr w:rsidR="00D21B0F" w:rsidRPr="00182DA0" w14:paraId="4F92A613" w14:textId="77777777" w:rsidTr="0018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B06D136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1417" w:type="dxa"/>
          </w:tcPr>
          <w:p w14:paraId="5F94DA8F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1560" w:type="dxa"/>
          </w:tcPr>
          <w:p w14:paraId="6C9186E6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Prompt</w:t>
            </w:r>
          </w:p>
        </w:tc>
        <w:tc>
          <w:tcPr>
            <w:tcW w:w="1984" w:type="dxa"/>
          </w:tcPr>
          <w:p w14:paraId="25F1156D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 xml:space="preserve">Respuesta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útil</w:t>
            </w:r>
            <w:proofErr w:type="spellEnd"/>
          </w:p>
        </w:tc>
        <w:tc>
          <w:tcPr>
            <w:tcW w:w="2977" w:type="dxa"/>
          </w:tcPr>
          <w:p w14:paraId="2CCFB16B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 xml:space="preserve">Error o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supuesto</w:t>
            </w:r>
            <w:proofErr w:type="spellEnd"/>
          </w:p>
        </w:tc>
        <w:tc>
          <w:tcPr>
            <w:tcW w:w="2551" w:type="dxa"/>
          </w:tcPr>
          <w:p w14:paraId="36D61FE7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Decisión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equipo</w:t>
            </w:r>
            <w:proofErr w:type="spellEnd"/>
          </w:p>
        </w:tc>
      </w:tr>
      <w:tr w:rsidR="00D21B0F" w:rsidRPr="00182DA0" w14:paraId="1CFB5896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7FA19D8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60BE3F5F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Comparar patrones de lógica de negocio</w:t>
            </w:r>
          </w:p>
        </w:tc>
        <w:tc>
          <w:tcPr>
            <w:tcW w:w="1560" w:type="dxa"/>
          </w:tcPr>
          <w:p w14:paraId="7D91F96C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Patrones (completado con BR-01 a BR-08, políticas pendientes y CU-01 a CU-05)</w:t>
            </w:r>
          </w:p>
        </w:tc>
        <w:tc>
          <w:tcPr>
            <w:tcW w:w="1984" w:type="dxa"/>
          </w:tcPr>
          <w:p w14:paraId="641AA33C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Tabla comparativa con consecuencias de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Transaction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Script, Table Module y Domain Model, y condiciones bajo las que cada uno conviene</w:t>
            </w:r>
          </w:p>
        </w:tc>
        <w:tc>
          <w:tcPr>
            <w:tcW w:w="2977" w:type="dxa"/>
          </w:tcPr>
          <w:p w14:paraId="6CF53080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Supuestos declarados: equipo pequeño con tiempo para modelar y políticas que cambiarán al validarse. Se verificó que la justificación se apoyara en evidencia del caso y no en argumentos generales como «escalabilidad»</w:t>
            </w:r>
          </w:p>
        </w:tc>
        <w:tc>
          <w:tcPr>
            <w:tcW w:w="2551" w:type="dxa"/>
          </w:tcPr>
          <w:p w14:paraId="15529A6F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Domain Model para el flujo que cambia estado;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Transaction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Script para lecturas (ADR-001)</w:t>
            </w:r>
          </w:p>
        </w:tc>
      </w:tr>
      <w:tr w:rsidR="00D21B0F" w:rsidRPr="00182DA0" w14:paraId="358D7A5E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182382C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2BB1ED57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Proponer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elementos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dominio</w:t>
            </w:r>
            <w:proofErr w:type="spellEnd"/>
          </w:p>
        </w:tc>
        <w:tc>
          <w:tcPr>
            <w:tcW w:w="1560" w:type="dxa"/>
          </w:tcPr>
          <w:p w14:paraId="63EAF819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Dominio (glosario U2 + reglas BR/US)</w:t>
            </w:r>
          </w:p>
        </w:tc>
        <w:tc>
          <w:tcPr>
            <w:tcW w:w="1984" w:type="dxa"/>
          </w:tcPr>
          <w:p w14:paraId="483CBA96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Candidatos a entidades,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Value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Objects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Aggregates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y eventos, cada uno con evidencia y dudas</w:t>
            </w:r>
          </w:p>
        </w:tc>
        <w:tc>
          <w:tcPr>
            <w:tcW w:w="2977" w:type="dxa"/>
          </w:tcPr>
          <w:p w14:paraId="5CCEEEB9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Factura, Cliente y el estado Suspendida se señalaron como candidatos dudosos, sin evidencia suficiente en la U2. El folio único y la definición de Empleado quedaron como dudas</w:t>
            </w:r>
          </w:p>
        </w:tc>
        <w:tc>
          <w:tcPr>
            <w:tcW w:w="2551" w:type="dxa"/>
          </w:tcPr>
          <w:p w14:paraId="09A90E12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 descartan Factura, Cliente y Suspendida; folio único como supuesto pendiente; Empleado y Cuadrilla como raíces mínimas</w:t>
            </w:r>
          </w:p>
        </w:tc>
      </w:tr>
      <w:tr w:rsidR="00D21B0F" w:rsidRPr="00182DA0" w14:paraId="211059E9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F9C39F9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7768C66B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Firmas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de Application Services</w:t>
            </w:r>
          </w:p>
        </w:tc>
        <w:tc>
          <w:tcPr>
            <w:tcW w:w="1560" w:type="dxa"/>
          </w:tcPr>
          <w:p w14:paraId="0990E339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Service Layer (CU-01 a CU-05)</w:t>
            </w:r>
          </w:p>
        </w:tc>
        <w:tc>
          <w:tcPr>
            <w:tcW w:w="1984" w:type="dxa"/>
          </w:tcPr>
          <w:p w14:paraId="1669A800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Cinco servicios con firma, colaboradores y reglas delegadas al dominio</w:t>
            </w:r>
          </w:p>
        </w:tc>
        <w:tc>
          <w:tcPr>
            <w:tcW w:w="2977" w:type="dxa"/>
          </w:tcPr>
          <w:p w14:paraId="6E5EB481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Dos servicios de aplicación tentaban a decidir (permiso por rol y «precio significativo»).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Faltaba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EmpleadoRepository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reasignar</w:t>
            </w:r>
            <w:proofErr w:type="spellEnd"/>
          </w:p>
        </w:tc>
        <w:tc>
          <w:tcPr>
            <w:tcW w:w="2551" w:type="dxa"/>
          </w:tcPr>
          <w:p w14:paraId="423FB505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Las decisiones quedan en el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Aggregate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Servicio y en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PoliticaDeExtras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; se agrega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EmpleadoRepository</w:t>
            </w:r>
            <w:proofErr w:type="spellEnd"/>
          </w:p>
        </w:tc>
      </w:tr>
      <w:tr w:rsidR="00D21B0F" w:rsidRPr="00182DA0" w14:paraId="703D546F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B55F200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7B319FDF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Detectar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violaciones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SOLID</w:t>
            </w:r>
          </w:p>
        </w:tc>
        <w:tc>
          <w:tcPr>
            <w:tcW w:w="1560" w:type="dxa"/>
          </w:tcPr>
          <w:p w14:paraId="39CF1EDB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SOLID (diseño completo de Etapas 3 a 6)</w:t>
            </w:r>
          </w:p>
        </w:tc>
        <w:tc>
          <w:tcPr>
            <w:tcW w:w="1984" w:type="dxa"/>
          </w:tcPr>
          <w:p w14:paraId="59DF8050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Seis hallazgos con evidencia, riesgo y alternativas</w:t>
            </w:r>
          </w:p>
        </w:tc>
        <w:tc>
          <w:tcPr>
            <w:tcW w:w="2977" w:type="dxa"/>
          </w:tcPr>
          <w:p w14:paraId="6E4A6536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Algunos riesgos son de crecimiento futuro, no de un defecto actual. </w:t>
            </w:r>
            <w:r w:rsidRPr="00182DA0">
              <w:rPr>
                <w:rFonts w:ascii="Arial" w:hAnsi="Arial" w:cs="Arial"/>
                <w:sz w:val="24"/>
                <w:szCs w:val="24"/>
              </w:rPr>
              <w:t xml:space="preserve">La IA no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puede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decidir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cuáles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pesan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más</w:t>
            </w:r>
            <w:proofErr w:type="spellEnd"/>
          </w:p>
        </w:tc>
        <w:tc>
          <w:tcPr>
            <w:tcW w:w="2551" w:type="dxa"/>
          </w:tcPr>
          <w:p w14:paraId="3719B4E4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Se corrigen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RepositoriosSql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, la mezcla Cotización/Servicio en una transacción y la reformulación de LSP; el resto queda como riesgo documentado</w:t>
            </w:r>
          </w:p>
        </w:tc>
      </w:tr>
      <w:tr w:rsidR="00D21B0F" w:rsidRPr="00182DA0" w14:paraId="1A310E83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BDD1CB5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6CA34BA7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Borrador de diagramas</w:t>
            </w:r>
          </w:p>
        </w:tc>
        <w:tc>
          <w:tcPr>
            <w:tcW w:w="1560" w:type="dxa"/>
          </w:tcPr>
          <w:p w14:paraId="4F9A4844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Diagramas (arquitectura validada → Mermaid)</w:t>
            </w:r>
          </w:p>
        </w:tc>
        <w:tc>
          <w:tcPr>
            <w:tcW w:w="1984" w:type="dxa"/>
          </w:tcPr>
          <w:p w14:paraId="6CD3499E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Código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Mermaid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del diagrama de clases y de dos de secuencia, para pegar en draw.io</w:t>
            </w:r>
          </w:p>
        </w:tc>
        <w:tc>
          <w:tcPr>
            <w:tcW w:w="2977" w:type="dxa"/>
          </w:tcPr>
          <w:p w14:paraId="00BC2857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La primera versión tenía unas 45 clases y participantes que no estaban en el diagrama de clases. </w:t>
            </w:r>
            <w:r w:rsidRPr="00182DA0">
              <w:rPr>
                <w:rFonts w:ascii="Arial" w:hAnsi="Arial" w:cs="Arial"/>
                <w:sz w:val="24"/>
                <w:szCs w:val="24"/>
              </w:rPr>
              <w:t xml:space="preserve">Se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redujo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a 22 clases</w:t>
            </w:r>
          </w:p>
        </w:tc>
        <w:tc>
          <w:tcPr>
            <w:tcW w:w="2551" w:type="dxa"/>
          </w:tcPr>
          <w:p w14:paraId="4D64417C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 usa la versión reducida y los participantes de las secuencias se alinean con el diagrama de clases</w:t>
            </w:r>
          </w:p>
        </w:tc>
      </w:tr>
    </w:tbl>
    <w:p w14:paraId="67067C12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7ED2BF7D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br w:type="page"/>
      </w:r>
    </w:p>
    <w:p w14:paraId="76090F66" w14:textId="77777777" w:rsidR="00D21B0F" w:rsidRPr="00182DA0" w:rsidRDefault="00000000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lastRenderedPageBreak/>
        <w:t>Iteración 1 · Patrones de lógica de negocio</w:t>
      </w:r>
    </w:p>
    <w:p w14:paraId="54A0B8F6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Objetivo: comparar </w:t>
      </w:r>
      <w:proofErr w:type="spellStart"/>
      <w:r w:rsidRPr="00182DA0">
        <w:rPr>
          <w:rFonts w:ascii="Arial" w:hAnsi="Arial" w:cs="Arial"/>
          <w:b/>
          <w:sz w:val="24"/>
          <w:szCs w:val="24"/>
          <w:lang w:val="es-MX"/>
        </w:rPr>
        <w:t>Transaction</w:t>
      </w:r>
      <w:proofErr w:type="spellEnd"/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 Script, Table Module y Domain Model con base en el comportamiento real de </w:t>
      </w:r>
      <w:proofErr w:type="spellStart"/>
      <w:r w:rsidRPr="00182DA0">
        <w:rPr>
          <w:rFonts w:ascii="Arial" w:hAnsi="Arial" w:cs="Arial"/>
          <w:b/>
          <w:sz w:val="24"/>
          <w:szCs w:val="24"/>
          <w:lang w:val="es-MX"/>
        </w:rPr>
        <w:t>CleanPro</w:t>
      </w:r>
      <w:proofErr w:type="spellEnd"/>
      <w:r w:rsidRPr="00182DA0">
        <w:rPr>
          <w:rFonts w:ascii="Arial" w:hAnsi="Arial" w:cs="Arial"/>
          <w:b/>
          <w:sz w:val="24"/>
          <w:szCs w:val="24"/>
          <w:lang w:val="es-MX"/>
        </w:rPr>
        <w:t>, antes de elegir.</w:t>
      </w:r>
    </w:p>
    <w:p w14:paraId="34E4876A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Contexto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2DA0">
        <w:rPr>
          <w:rFonts w:ascii="Arial" w:hAnsi="Arial" w:cs="Arial"/>
          <w:sz w:val="24"/>
          <w:szCs w:val="24"/>
        </w:rPr>
        <w:t>entregado</w:t>
      </w:r>
      <w:proofErr w:type="spellEnd"/>
    </w:p>
    <w:p w14:paraId="3E2BC360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Reglas BR-01 a BR-08 del BRD y RNF-01 a RNF-04.</w:t>
      </w:r>
    </w:p>
    <w:p w14:paraId="2FF319DC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Cambios esperados: tiempo de cortesía, cobro por acceso negado, penalización por reprogramación tardía, catálogo de extras y criterio de precio «significativo». </w:t>
      </w:r>
      <w:r w:rsidRPr="00182DA0">
        <w:rPr>
          <w:rFonts w:ascii="Arial" w:hAnsi="Arial" w:cs="Arial"/>
          <w:sz w:val="24"/>
          <w:szCs w:val="24"/>
        </w:rPr>
        <w:t xml:space="preserve">Todos </w:t>
      </w:r>
      <w:proofErr w:type="spellStart"/>
      <w:r w:rsidRPr="00182DA0">
        <w:rPr>
          <w:rFonts w:ascii="Arial" w:hAnsi="Arial" w:cs="Arial"/>
          <w:sz w:val="24"/>
          <w:szCs w:val="24"/>
        </w:rPr>
        <w:t>pendientes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82DA0">
        <w:rPr>
          <w:rFonts w:ascii="Arial" w:hAnsi="Arial" w:cs="Arial"/>
          <w:sz w:val="24"/>
          <w:szCs w:val="24"/>
        </w:rPr>
        <w:t>validar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con el negocio.</w:t>
      </w:r>
    </w:p>
    <w:p w14:paraId="1C33DA8D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Casos de uso CU-01 a CU-05: aceptar cotización, confirmar cuadrilla, reportar ausencia y reasignar, registrar extra en sitio y cerrar para facturación.</w:t>
      </w:r>
    </w:p>
    <w:p w14:paraId="0C540D98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r w:rsidRPr="00182DA0">
        <w:rPr>
          <w:rFonts w:ascii="Arial" w:hAnsi="Arial" w:cs="Arial"/>
          <w:sz w:val="24"/>
          <w:szCs w:val="24"/>
        </w:rPr>
        <w:t>Prompt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411"/>
      </w:tblGrid>
      <w:tr w:rsidR="00D21B0F" w:rsidRPr="00182DA0" w14:paraId="2C9B045C" w14:textId="77777777">
        <w:tc>
          <w:tcPr>
            <w:tcW w:w="9411" w:type="dxa"/>
            <w:shd w:val="clear" w:color="auto" w:fill="F2F2F2"/>
          </w:tcPr>
          <w:p w14:paraId="0F9A46CE" w14:textId="77777777" w:rsidR="00D21B0F" w:rsidRPr="00182DA0" w:rsidRDefault="00000000">
            <w:pPr>
              <w:rPr>
                <w:rFonts w:ascii="Arial" w:hAnsi="Arial" w:cs="Arial"/>
                <w:iCs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Con base en estas reglas (BR-01 a BR-08), estos cambios esperados (tiempo de cortesía, cobro por acceso negado, penalización por reprogramación tardía, catálogo de extras y criterio de precio significativo, todos pendientes de validar) y estos casos de uso (CU-01 aceptar cotización, CU-02 confirmar cuadrilla el día previo, CU-03 reportar ausencia y reasignar, CU-04 registrar extra en sitio, CU-05 cerrar para facturación), compara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Transaction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Script, Table Module y Domain Model. Declara tus supuestos y no elijas una opción hasta mostrar sus consecuencias.</w:t>
            </w:r>
          </w:p>
        </w:tc>
      </w:tr>
    </w:tbl>
    <w:p w14:paraId="520307C0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594D31C8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Respuesta de la IA (resumen)</w:t>
      </w:r>
    </w:p>
    <w:p w14:paraId="017BA81E" w14:textId="77777777" w:rsidR="00D21B0F" w:rsidRPr="00182DA0" w:rsidRDefault="00000000">
      <w:pPr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b/>
          <w:sz w:val="24"/>
          <w:szCs w:val="24"/>
        </w:rPr>
        <w:t>Supuestos</w:t>
      </w:r>
      <w:proofErr w:type="spellEnd"/>
      <w:r w:rsidRPr="00182DA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82DA0">
        <w:rPr>
          <w:rFonts w:ascii="Arial" w:hAnsi="Arial" w:cs="Arial"/>
          <w:b/>
          <w:sz w:val="24"/>
          <w:szCs w:val="24"/>
        </w:rPr>
        <w:t>declarados</w:t>
      </w:r>
      <w:proofErr w:type="spellEnd"/>
      <w:r w:rsidRPr="00182DA0">
        <w:rPr>
          <w:rFonts w:ascii="Arial" w:hAnsi="Arial" w:cs="Arial"/>
          <w:b/>
          <w:sz w:val="24"/>
          <w:szCs w:val="24"/>
        </w:rPr>
        <w:t>:</w:t>
      </w:r>
    </w:p>
    <w:p w14:paraId="7FED2DEF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El sistema lo mantiene un equipo pequeño, con tiempo para modelar el dominio.</w:t>
      </w:r>
    </w:p>
    <w:p w14:paraId="49081C04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Las políticas pendientes cambiarán cuando el negocio las valide (RNF-04).</w:t>
      </w:r>
    </w:p>
    <w:p w14:paraId="5727A3F0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No hay requisito de rendimiento extremo ni integración contable (BRD).</w:t>
      </w:r>
    </w:p>
    <w:p w14:paraId="26C909E7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Las consultas (disponibilidad, panel, historial) no protegen invariantes.</w:t>
      </w: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494"/>
        <w:gridCol w:w="2494"/>
        <w:gridCol w:w="2608"/>
      </w:tblGrid>
      <w:tr w:rsidR="00D21B0F" w:rsidRPr="00182DA0" w14:paraId="351C1026" w14:textId="77777777" w:rsidTr="0018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98DA2FC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2494" w:type="dxa"/>
          </w:tcPr>
          <w:p w14:paraId="19B25CA4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Transaction Script</w:t>
            </w:r>
          </w:p>
        </w:tc>
        <w:tc>
          <w:tcPr>
            <w:tcW w:w="2494" w:type="dxa"/>
          </w:tcPr>
          <w:p w14:paraId="6A98B0CE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Table Module</w:t>
            </w:r>
          </w:p>
        </w:tc>
        <w:tc>
          <w:tcPr>
            <w:tcW w:w="2608" w:type="dxa"/>
          </w:tcPr>
          <w:p w14:paraId="7EC3B5A2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Domain Model</w:t>
            </w:r>
          </w:p>
        </w:tc>
      </w:tr>
      <w:tr w:rsidR="00D21B0F" w:rsidRPr="00182DA0" w14:paraId="3782C33B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0A444DE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Reglas que cruzan conceptos (BR-03, BR-07)</w:t>
            </w:r>
          </w:p>
        </w:tc>
        <w:tc>
          <w:tcPr>
            <w:tcW w:w="2494" w:type="dxa"/>
          </w:tcPr>
          <w:p w14:paraId="08F2C1EF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Cada procedimiento repite la verificación de pendientes antes de cerrar</w:t>
            </w:r>
          </w:p>
        </w:tc>
        <w:tc>
          <w:tcPr>
            <w:tcW w:w="2494" w:type="dxa"/>
          </w:tcPr>
          <w:p w14:paraId="640693A9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La regla queda repartida por tabla (Servicio, Incidencia, Extra); alguien tiene que coordinarla</w:t>
            </w:r>
          </w:p>
        </w:tc>
        <w:tc>
          <w:tcPr>
            <w:tcW w:w="2608" w:type="dxa"/>
          </w:tcPr>
          <w:p w14:paraId="6B5BB02E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La regla vive en Servicio, que contiene incidencias y extras</w:t>
            </w:r>
          </w:p>
        </w:tc>
      </w:tr>
      <w:tr w:rsidR="00D21B0F" w:rsidRPr="00182DA0" w14:paraId="3F3E1316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E888547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Estados e invariantes (S1 a S13)</w:t>
            </w:r>
          </w:p>
        </w:tc>
        <w:tc>
          <w:tcPr>
            <w:tcW w:w="2494" w:type="dxa"/>
          </w:tcPr>
          <w:p w14:paraId="466DBC46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El estado es un valor que cada script valida</w:t>
            </w:r>
          </w:p>
        </w:tc>
        <w:tc>
          <w:tcPr>
            <w:tcW w:w="2494" w:type="dxa"/>
          </w:tcPr>
          <w:p w14:paraId="7ADCAE34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El estado es una columna validada por módulo</w:t>
            </w:r>
          </w:p>
        </w:tc>
        <w:tc>
          <w:tcPr>
            <w:tcW w:w="2608" w:type="dxa"/>
          </w:tcPr>
          <w:p w14:paraId="7F140CDA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Las transiciones están dentro del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Aggregate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; no hay otro camino a un estado inválido</w:t>
            </w:r>
          </w:p>
        </w:tc>
      </w:tr>
      <w:tr w:rsidR="00D21B0F" w:rsidRPr="00182DA0" w14:paraId="09803315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B6F11A0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Políticas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que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cambian</w:t>
            </w:r>
            <w:proofErr w:type="spellEnd"/>
          </w:p>
        </w:tc>
        <w:tc>
          <w:tcPr>
            <w:tcW w:w="2494" w:type="dxa"/>
          </w:tcPr>
          <w:p w14:paraId="7F0410C5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Hay que editar cada script que las use</w:t>
            </w:r>
          </w:p>
        </w:tc>
        <w:tc>
          <w:tcPr>
            <w:tcW w:w="2494" w:type="dxa"/>
          </w:tcPr>
          <w:p w14:paraId="5A045A1D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El cambio queda en el módulo, pero sin objeto que represente la política</w:t>
            </w:r>
          </w:p>
        </w:tc>
        <w:tc>
          <w:tcPr>
            <w:tcW w:w="2608" w:type="dxa"/>
          </w:tcPr>
          <w:p w14:paraId="7401F0CF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 encapsulan en un objeto de configuración y no tocan el flujo</w:t>
            </w:r>
          </w:p>
        </w:tc>
      </w:tr>
      <w:tr w:rsidR="00D21B0F" w:rsidRPr="00182DA0" w14:paraId="7EE7CF21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634661A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 xml:space="preserve">Costo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inicial</w:t>
            </w:r>
            <w:proofErr w:type="spellEnd"/>
          </w:p>
        </w:tc>
        <w:tc>
          <w:tcPr>
            <w:tcW w:w="2494" w:type="dxa"/>
          </w:tcPr>
          <w:p w14:paraId="733DB322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Bajo</w:t>
            </w:r>
          </w:p>
        </w:tc>
        <w:tc>
          <w:tcPr>
            <w:tcW w:w="2494" w:type="dxa"/>
          </w:tcPr>
          <w:p w14:paraId="210E0854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Bajo a medio</w:t>
            </w:r>
          </w:p>
        </w:tc>
        <w:tc>
          <w:tcPr>
            <w:tcW w:w="2608" w:type="dxa"/>
          </w:tcPr>
          <w:p w14:paraId="3262446D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Alto: modelado y mapeo a persistencia</w:t>
            </w:r>
          </w:p>
        </w:tc>
      </w:tr>
      <w:tr w:rsidR="00D21B0F" w:rsidRPr="00182DA0" w14:paraId="0A3B4041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E021469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 xml:space="preserve">Riesgo </w:t>
            </w:r>
            <w:r w:rsidRPr="00182DA0">
              <w:rPr>
                <w:rFonts w:ascii="Arial" w:hAnsi="Arial" w:cs="Arial"/>
                <w:sz w:val="24"/>
                <w:szCs w:val="24"/>
              </w:rPr>
              <w:lastRenderedPageBreak/>
              <w:t>principal</w:t>
            </w:r>
          </w:p>
        </w:tc>
        <w:tc>
          <w:tcPr>
            <w:tcW w:w="2494" w:type="dxa"/>
          </w:tcPr>
          <w:p w14:paraId="50D5B784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lastRenderedPageBreak/>
              <w:t>Duplicar BR-07</w:t>
            </w:r>
          </w:p>
        </w:tc>
        <w:tc>
          <w:tcPr>
            <w:tcW w:w="2494" w:type="dxa"/>
          </w:tcPr>
          <w:p w14:paraId="31EE25B6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Terminar como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Transaction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Script con otro nombre</w:t>
            </w:r>
          </w:p>
        </w:tc>
        <w:tc>
          <w:tcPr>
            <w:tcW w:w="2608" w:type="dxa"/>
          </w:tcPr>
          <w:p w14:paraId="18297A08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Sobre-modelar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(una </w:t>
            </w: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entidad por tabla)</w:t>
            </w:r>
          </w:p>
        </w:tc>
      </w:tr>
    </w:tbl>
    <w:p w14:paraId="1E1CABB2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4CF39A57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Consecuencias que señaló antes de concluir: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Transaction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Script es suficiente si el sistema se limitara a registrar eventos sin proteger estados; Table Module sirve para reportes por tabla; Domain Model solo compensa si las invariantes entre Servicio, Incidencia y Extra son centrales (BR-07, BR-02, US-08, US-11). Conclusión condicionada: Domain Model para el flujo que cambia estado y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Transaction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Script para lecturas.</w:t>
      </w:r>
    </w:p>
    <w:p w14:paraId="3874CACE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Revisión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82DA0">
        <w:rPr>
          <w:rFonts w:ascii="Arial" w:hAnsi="Arial" w:cs="Arial"/>
          <w:sz w:val="24"/>
          <w:szCs w:val="24"/>
        </w:rPr>
        <w:t>corrección</w:t>
      </w:r>
      <w:proofErr w:type="spellEnd"/>
    </w:p>
    <w:p w14:paraId="73951A73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Los argumentos genéricos («escalable», «moderno», «más mantenible») no sirven: la actividad pide evidencia del caso. La justificación se ancló en BR-07, BR-02, US-08 y US-11.</w:t>
      </w:r>
    </w:p>
    <w:p w14:paraId="3A2490E8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El tamaño del sistema (19 historias, 5 actores) no justifica por sí solo el patrón; la justificación es la cantidad de estados e invariantes.</w:t>
      </w:r>
    </w:p>
    <w:p w14:paraId="27D7FA1C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Se verificó cada afirmación contra el BRD y las historias. Las referencias a BR-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xx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coinciden con el BRD.</w:t>
      </w:r>
    </w:p>
    <w:p w14:paraId="23A2D83E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Decisión del equipo</w:t>
      </w:r>
    </w:p>
    <w:p w14:paraId="394E94B8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Domain Model para el flujo que cambia el estado del Servicio;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Transaction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Script solo para consultas; Table Module descartado. Queda registrado en ADR-001.</w:t>
      </w:r>
    </w:p>
    <w:p w14:paraId="16AC3AA7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br w:type="page"/>
      </w:r>
    </w:p>
    <w:p w14:paraId="6852CA0B" w14:textId="77777777" w:rsidR="00D21B0F" w:rsidRPr="00182DA0" w:rsidRDefault="00000000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lastRenderedPageBreak/>
        <w:t>Iteración 2 · Mapa de dominio</w:t>
      </w:r>
    </w:p>
    <w:p w14:paraId="4B1DFCBC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Objetivo: obtener candidatos a entidades, </w:t>
      </w:r>
      <w:proofErr w:type="spellStart"/>
      <w:r w:rsidRPr="00182DA0">
        <w:rPr>
          <w:rFonts w:ascii="Arial" w:hAnsi="Arial" w:cs="Arial"/>
          <w:b/>
          <w:sz w:val="24"/>
          <w:szCs w:val="24"/>
          <w:lang w:val="es-MX"/>
        </w:rPr>
        <w:t>Value</w:t>
      </w:r>
      <w:proofErr w:type="spellEnd"/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 </w:t>
      </w:r>
      <w:proofErr w:type="spellStart"/>
      <w:r w:rsidRPr="00182DA0">
        <w:rPr>
          <w:rFonts w:ascii="Arial" w:hAnsi="Arial" w:cs="Arial"/>
          <w:b/>
          <w:sz w:val="24"/>
          <w:szCs w:val="24"/>
          <w:lang w:val="es-MX"/>
        </w:rPr>
        <w:t>Objects</w:t>
      </w:r>
      <w:proofErr w:type="spellEnd"/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, </w:t>
      </w:r>
      <w:proofErr w:type="spellStart"/>
      <w:r w:rsidRPr="00182DA0">
        <w:rPr>
          <w:rFonts w:ascii="Arial" w:hAnsi="Arial" w:cs="Arial"/>
          <w:b/>
          <w:sz w:val="24"/>
          <w:szCs w:val="24"/>
          <w:lang w:val="es-MX"/>
        </w:rPr>
        <w:t>Aggregates</w:t>
      </w:r>
      <w:proofErr w:type="spellEnd"/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 y Domain </w:t>
      </w:r>
      <w:proofErr w:type="spellStart"/>
      <w:r w:rsidRPr="00182DA0">
        <w:rPr>
          <w:rFonts w:ascii="Arial" w:hAnsi="Arial" w:cs="Arial"/>
          <w:b/>
          <w:sz w:val="24"/>
          <w:szCs w:val="24"/>
          <w:lang w:val="es-MX"/>
        </w:rPr>
        <w:t>Events</w:t>
      </w:r>
      <w:proofErr w:type="spellEnd"/>
      <w:r w:rsidRPr="00182DA0">
        <w:rPr>
          <w:rFonts w:ascii="Arial" w:hAnsi="Arial" w:cs="Arial"/>
          <w:b/>
          <w:sz w:val="24"/>
          <w:szCs w:val="24"/>
          <w:lang w:val="es-MX"/>
        </w:rPr>
        <w:t>, cada uno con su evidencia y con las dudas que requieren validación humana.</w:t>
      </w:r>
    </w:p>
    <w:p w14:paraId="587591FC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Contexto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2DA0">
        <w:rPr>
          <w:rFonts w:ascii="Arial" w:hAnsi="Arial" w:cs="Arial"/>
          <w:sz w:val="24"/>
          <w:szCs w:val="24"/>
        </w:rPr>
        <w:t>entregado</w:t>
      </w:r>
      <w:proofErr w:type="spellEnd"/>
    </w:p>
    <w:p w14:paraId="316E5AA6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Glosario completo de la U2 (24 términos).</w:t>
      </w:r>
    </w:p>
    <w:p w14:paraId="71984D92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Reglas BR-01 a BR-08 y las historias US-01 a US-19.</w:t>
      </w:r>
    </w:p>
    <w:p w14:paraId="7AE4CDE0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BPMN: carriles Cliente, Coordinador, Cuadrilla, Supervisor y Administración, y sus puntos de decisión.</w:t>
      </w:r>
    </w:p>
    <w:p w14:paraId="36BB03AF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r w:rsidRPr="00182DA0">
        <w:rPr>
          <w:rFonts w:ascii="Arial" w:hAnsi="Arial" w:cs="Arial"/>
          <w:sz w:val="24"/>
          <w:szCs w:val="24"/>
        </w:rPr>
        <w:t>Prompt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411"/>
      </w:tblGrid>
      <w:tr w:rsidR="00D21B0F" w:rsidRPr="00182DA0" w14:paraId="0C9FF103" w14:textId="77777777">
        <w:tc>
          <w:tcPr>
            <w:tcW w:w="9411" w:type="dxa"/>
            <w:shd w:val="clear" w:color="auto" w:fill="F2F2F2"/>
          </w:tcPr>
          <w:p w14:paraId="3F892D69" w14:textId="77777777" w:rsidR="00D21B0F" w:rsidRPr="00182DA0" w:rsidRDefault="00000000">
            <w:pPr>
              <w:rPr>
                <w:rFonts w:ascii="Arial" w:hAnsi="Arial" w:cs="Arial"/>
                <w:iCs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Revisa este glosario y estas reglas [glosario de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CleanPro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: Cotización, Programación tentativa, Confirmación de cuadrilla, Servicio, Cuadrilla, Ausencia, Reasignación de personal, Servicio en riesgo, Incidencia, Extra, Catálogo de extras, Ajuste de precio y tiempo, Tiempo de cortesía, Servicio no realizado, Material especial, Reprogramación, Cancelación, Registro de inicio y término, Cierre para facturación, Panel operativo, Historial de servicio; reglas BR-01 a BR-08]. Propón candidatos a entidades,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Value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Objects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Aggregates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y Domain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Events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. Para cada candidato, indica la evidencia utilizada y las dudas que requieren validación humana.</w:t>
            </w:r>
          </w:p>
        </w:tc>
      </w:tr>
    </w:tbl>
    <w:p w14:paraId="6EEDA7B9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2E4867C8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Respuesta de la IA (resumen)</w:t>
      </w: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2608"/>
        <w:gridCol w:w="2608"/>
        <w:gridCol w:w="2721"/>
      </w:tblGrid>
      <w:tr w:rsidR="00D21B0F" w:rsidRPr="00182DA0" w14:paraId="0278A8E0" w14:textId="77777777" w:rsidTr="0018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2AC23C00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608" w:type="dxa"/>
          </w:tcPr>
          <w:p w14:paraId="78848564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Candidatos</w:t>
            </w:r>
          </w:p>
        </w:tc>
        <w:tc>
          <w:tcPr>
            <w:tcW w:w="2608" w:type="dxa"/>
          </w:tcPr>
          <w:p w14:paraId="0EFE52C7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Evidencia</w:t>
            </w:r>
          </w:p>
        </w:tc>
        <w:tc>
          <w:tcPr>
            <w:tcW w:w="2721" w:type="dxa"/>
          </w:tcPr>
          <w:p w14:paraId="4DBA631A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Duda para validar</w:t>
            </w:r>
          </w:p>
        </w:tc>
      </w:tr>
      <w:tr w:rsidR="00D21B0F" w:rsidRPr="00182DA0" w14:paraId="5A8886C4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69F35757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Aggregate / Entidad</w:t>
            </w:r>
          </w:p>
        </w:tc>
        <w:tc>
          <w:tcPr>
            <w:tcW w:w="2608" w:type="dxa"/>
          </w:tcPr>
          <w:p w14:paraId="376A86C4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Cotización (Folio), Servicio (Folio), Cuadrilla, Empleado,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ConfiguracionDePoliticas</w:t>
            </w:r>
            <w:proofErr w:type="spellEnd"/>
          </w:p>
        </w:tc>
        <w:tc>
          <w:tcPr>
            <w:tcW w:w="2608" w:type="dxa"/>
          </w:tcPr>
          <w:p w14:paraId="0CC0D5BD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Glosario: cotización con folio y estados; Servicio agrupa cotización, cuadrilla y registros; BR-01, BR-02</w:t>
            </w:r>
          </w:p>
        </w:tc>
        <w:tc>
          <w:tcPr>
            <w:tcW w:w="2721" w:type="dxa"/>
          </w:tcPr>
          <w:p w14:paraId="5CD4608A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¿El Servicio conserva el folio de la cotización o tiene uno propio? </w:t>
            </w:r>
            <w:r w:rsidRPr="00182DA0">
              <w:rPr>
                <w:rFonts w:ascii="Arial" w:hAnsi="Arial" w:cs="Arial"/>
                <w:sz w:val="24"/>
                <w:szCs w:val="24"/>
              </w:rPr>
              <w:t>(US-03 vs US-06 y US-08)</w:t>
            </w:r>
          </w:p>
        </w:tc>
      </w:tr>
      <w:tr w:rsidR="00D21B0F" w:rsidRPr="00182DA0" w14:paraId="7A6A7D11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42A6F7FA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Entidad dentro de Servicio</w:t>
            </w:r>
          </w:p>
        </w:tc>
        <w:tc>
          <w:tcPr>
            <w:tcW w:w="2608" w:type="dxa"/>
          </w:tcPr>
          <w:p w14:paraId="1A840571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Incidencia, Extra, AjusteDePrecioYTiempo, SolicitudDeReprogramacion</w:t>
            </w:r>
          </w:p>
        </w:tc>
        <w:tc>
          <w:tcPr>
            <w:tcW w:w="2608" w:type="dxa"/>
          </w:tcPr>
          <w:p w14:paraId="55D18ECD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US-09, US-10, US-11, US-14 y US-15: cada uno tiene estado y ciclo propio</w:t>
            </w:r>
          </w:p>
        </w:tc>
        <w:tc>
          <w:tcPr>
            <w:tcW w:w="2721" w:type="dxa"/>
          </w:tcPr>
          <w:p w14:paraId="636024A3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Qué pasa si el cliente rechaza un ajuste o el coordinador rechaza un extra (no definido)</w:t>
            </w:r>
          </w:p>
        </w:tc>
      </w:tr>
      <w:tr w:rsidR="00D21B0F" w:rsidRPr="00182DA0" w14:paraId="238F307E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624CFF0B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Value Object</w:t>
            </w:r>
          </w:p>
        </w:tc>
        <w:tc>
          <w:tcPr>
            <w:tcW w:w="2608" w:type="dxa"/>
          </w:tcPr>
          <w:p w14:paraId="3EE12B3A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Folio,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DatosDelInmueble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Frecuencia,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Estimacion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Dinero,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RegistroDeTiempo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AsignacionDePersonal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FechaDeServicio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, Motivo</w:t>
            </w:r>
          </w:p>
        </w:tc>
        <w:tc>
          <w:tcPr>
            <w:tcW w:w="2608" w:type="dxa"/>
          </w:tcPr>
          <w:p w14:paraId="5F442EEE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US-01, US-02, US-07, US-08, RNF-03</w:t>
            </w:r>
          </w:p>
        </w:tc>
        <w:tc>
          <w:tcPr>
            <w:tcW w:w="2721" w:type="dxa"/>
          </w:tcPr>
          <w:p w14:paraId="55C938A7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Moneda del Dinero no definida</w:t>
            </w:r>
          </w:p>
        </w:tc>
      </w:tr>
      <w:tr w:rsidR="00D21B0F" w:rsidRPr="00182DA0" w14:paraId="1E10C65F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474412BC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Domain Service</w:t>
            </w:r>
          </w:p>
        </w:tc>
        <w:tc>
          <w:tcPr>
            <w:tcW w:w="2608" w:type="dxa"/>
          </w:tcPr>
          <w:p w14:paraId="198FA2A5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CalculadoraDeEstimacion, AsignadorDeCuadrilla, PoliticaDeExtras</w:t>
            </w:r>
          </w:p>
        </w:tc>
        <w:tc>
          <w:tcPr>
            <w:tcW w:w="2608" w:type="dxa"/>
          </w:tcPr>
          <w:p w14:paraId="365F6072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US-02, US-04, US-05, US-10</w:t>
            </w:r>
          </w:p>
        </w:tc>
        <w:tc>
          <w:tcPr>
            <w:tcW w:w="2721" w:type="dxa"/>
          </w:tcPr>
          <w:p w14:paraId="0403BA5A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El tarifario no está definido en la U2</w:t>
            </w:r>
          </w:p>
        </w:tc>
      </w:tr>
      <w:tr w:rsidR="00D21B0F" w:rsidRPr="00182DA0" w14:paraId="7DBEAA7F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0496DC6B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lastRenderedPageBreak/>
              <w:t>Domain Events</w:t>
            </w:r>
          </w:p>
        </w:tc>
        <w:tc>
          <w:tcPr>
            <w:tcW w:w="2608" w:type="dxa"/>
          </w:tcPr>
          <w:p w14:paraId="2A92A74D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CotizacionEmitida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CotizacionAceptada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ServicioProgramado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CuadrillaConfirmada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AusenciaReportada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PersonalReasignado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ServicioEnRiesgo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IncidenciaDocumentada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ExtraAceptado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ServicioCerradoParaFacturacion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, entre otros</w:t>
            </w:r>
          </w:p>
        </w:tc>
        <w:tc>
          <w:tcPr>
            <w:tcW w:w="2608" w:type="dxa"/>
          </w:tcPr>
          <w:p w14:paraId="5728F1D0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Historias US-03 a US-17; eventos finales del BPMN</w:t>
            </w:r>
          </w:p>
        </w:tc>
        <w:tc>
          <w:tcPr>
            <w:tcW w:w="2721" w:type="dxa"/>
          </w:tcPr>
          <w:p w14:paraId="58D1A548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Qué eventos requieren notificación inmediata además de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AusenciaReportada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(RNF-01)</w:t>
            </w:r>
          </w:p>
        </w:tc>
      </w:tr>
      <w:tr w:rsidR="00D21B0F" w:rsidRPr="00182DA0" w14:paraId="6E7A7B6D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169FC732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Candidatos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dudosos</w:t>
            </w:r>
            <w:proofErr w:type="spellEnd"/>
          </w:p>
        </w:tc>
        <w:tc>
          <w:tcPr>
            <w:tcW w:w="2608" w:type="dxa"/>
          </w:tcPr>
          <w:p w14:paraId="0AA982CA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Factura, Cliente, estado Suspendida</w:t>
            </w:r>
          </w:p>
        </w:tc>
        <w:tc>
          <w:tcPr>
            <w:tcW w:w="2608" w:type="dxa"/>
          </w:tcPr>
          <w:p w14:paraId="240B26A6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Aparecen en el BPMN («Facturar servicio»), en el caso (Cliente como actor) y en BR-08 (modificar o cancelar)</w:t>
            </w:r>
          </w:p>
        </w:tc>
        <w:tc>
          <w:tcPr>
            <w:tcW w:w="2721" w:type="dxa"/>
          </w:tcPr>
          <w:p w14:paraId="5AD668AC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Sin evidencia de comportamiento propio: BRD excluye facturación externa; Cliente solo solicita y acepta; BR-08 solo habla de modificar o cancelar</w:t>
            </w:r>
          </w:p>
        </w:tc>
      </w:tr>
    </w:tbl>
    <w:p w14:paraId="6BDE08D8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4006373C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Revisión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82DA0">
        <w:rPr>
          <w:rFonts w:ascii="Arial" w:hAnsi="Arial" w:cs="Arial"/>
          <w:sz w:val="24"/>
          <w:szCs w:val="24"/>
        </w:rPr>
        <w:t>corrección</w:t>
      </w:r>
      <w:proofErr w:type="spellEnd"/>
    </w:p>
    <w:p w14:paraId="4981E0DF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Factura: se descartó. El BRD deja fuera la integración con sistemas contables y el sistema solo cierra para facturación. </w:t>
      </w:r>
      <w:r w:rsidRPr="00182DA0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182DA0">
        <w:rPr>
          <w:rFonts w:ascii="Arial" w:hAnsi="Arial" w:cs="Arial"/>
          <w:sz w:val="24"/>
          <w:szCs w:val="24"/>
        </w:rPr>
        <w:t>cierre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2DA0">
        <w:rPr>
          <w:rFonts w:ascii="Arial" w:hAnsi="Arial" w:cs="Arial"/>
          <w:sz w:val="24"/>
          <w:szCs w:val="24"/>
        </w:rPr>
        <w:t>emite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el evento ServicioCerradoParaFacturacion.</w:t>
      </w:r>
    </w:p>
    <w:p w14:paraId="169CB051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Cliente: se descartó como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Aggregate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; solo se referencia por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ClienteId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. La U2 no define datos ni comportamiento propios del cliente.</w:t>
      </w:r>
    </w:p>
    <w:p w14:paraId="1424DD15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Suspendida: se descartó. No existe en el glosario ni en las historias.</w:t>
      </w:r>
    </w:p>
    <w:p w14:paraId="6542374F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Se verificó que ninguna respuesta introdujera reglas o cifras nuevas (rangos de superficie, descuentos, límite de cuadrillas): la U2 no las define y quedan como supuestos pendientes.</w:t>
      </w:r>
    </w:p>
    <w:p w14:paraId="3850B2E2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Empleado no está definido en el glosario; se modeló como raíz mínima (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EmpleadoId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).</w:t>
      </w:r>
    </w:p>
    <w:p w14:paraId="0AEB5222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Decisión del equipo</w:t>
      </w:r>
    </w:p>
    <w:p w14:paraId="00BAA784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Cotización y Servicio como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Aggregates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separados con el mismo Folio (supuesto pendiente de validar), Cuadrilla y Empleado como raíces mínimas,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ConfiguracionDePoliticas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como soporte, y los elementos descartados registrados en «Decisiones dudosas o descartadas». Se refleja en ADR-002 y ADR-003.</w:t>
      </w:r>
    </w:p>
    <w:p w14:paraId="13B9192B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br w:type="page"/>
      </w:r>
    </w:p>
    <w:p w14:paraId="3F075286" w14:textId="77777777" w:rsidR="00D21B0F" w:rsidRPr="00182DA0" w:rsidRDefault="00000000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lastRenderedPageBreak/>
        <w:t>Iteración 3 · Service Layer</w:t>
      </w:r>
    </w:p>
    <w:p w14:paraId="16F5C419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Objetivo: obtener firmas de </w:t>
      </w:r>
      <w:proofErr w:type="spellStart"/>
      <w:r w:rsidRPr="00182DA0">
        <w:rPr>
          <w:rFonts w:ascii="Arial" w:hAnsi="Arial" w:cs="Arial"/>
          <w:b/>
          <w:sz w:val="24"/>
          <w:szCs w:val="24"/>
          <w:lang w:val="es-MX"/>
        </w:rPr>
        <w:t>Application</w:t>
      </w:r>
      <w:proofErr w:type="spellEnd"/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 </w:t>
      </w:r>
      <w:proofErr w:type="spellStart"/>
      <w:r w:rsidRPr="00182DA0">
        <w:rPr>
          <w:rFonts w:ascii="Arial" w:hAnsi="Arial" w:cs="Arial"/>
          <w:b/>
          <w:sz w:val="24"/>
          <w:szCs w:val="24"/>
          <w:lang w:val="es-MX"/>
        </w:rPr>
        <w:t>Services</w:t>
      </w:r>
      <w:proofErr w:type="spellEnd"/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 que coordinen cada caso de uso sin absorber las reglas del dominio.</w:t>
      </w:r>
    </w:p>
    <w:p w14:paraId="6D70B3F8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Contexto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2DA0">
        <w:rPr>
          <w:rFonts w:ascii="Arial" w:hAnsi="Arial" w:cs="Arial"/>
          <w:sz w:val="24"/>
          <w:szCs w:val="24"/>
        </w:rPr>
        <w:t>entregado</w:t>
      </w:r>
      <w:proofErr w:type="spellEnd"/>
    </w:p>
    <w:p w14:paraId="17B51679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CU-01 a CU-05 con actor, reglas y resultado esperado.</w:t>
      </w:r>
    </w:p>
    <w:p w14:paraId="192BF0A8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Invariantes S1 a S13 del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Aggregate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Servicio y las reglas BR-01 a BR-08.</w:t>
      </w:r>
    </w:p>
    <w:p w14:paraId="45BC288F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r w:rsidRPr="00182DA0">
        <w:rPr>
          <w:rFonts w:ascii="Arial" w:hAnsi="Arial" w:cs="Arial"/>
          <w:sz w:val="24"/>
          <w:szCs w:val="24"/>
        </w:rPr>
        <w:t>Prompt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411"/>
      </w:tblGrid>
      <w:tr w:rsidR="00D21B0F" w:rsidRPr="00182DA0" w14:paraId="0FF643DA" w14:textId="77777777">
        <w:tc>
          <w:tcPr>
            <w:tcW w:w="9411" w:type="dxa"/>
            <w:shd w:val="clear" w:color="auto" w:fill="F2F2F2"/>
          </w:tcPr>
          <w:p w14:paraId="5E6CD362" w14:textId="77777777" w:rsidR="00D21B0F" w:rsidRPr="00182DA0" w:rsidRDefault="00000000">
            <w:pPr>
              <w:rPr>
                <w:rFonts w:ascii="Arial" w:hAnsi="Arial" w:cs="Arial"/>
                <w:iCs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A partir de estos casos de uso [CU-01 aceptar cotización (Cliente), CU-02 confirmar cuadrilla el día previo (Coordinador), CU-03 reportar ausencia y reasignar personal (Supervisor y Administración), CU-04 registrar extra solicitado en sitio (Supervisor), CU-05 cerrar servicio para facturación (Administración)], propone firmas de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Application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Services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. Separa coordinación de reglas de dominio y explica cualquier responsabilidad dudosa.</w:t>
            </w:r>
          </w:p>
        </w:tc>
      </w:tr>
    </w:tbl>
    <w:p w14:paraId="7595AF39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0A702448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Respuesta de la IA (resumen)</w:t>
      </w: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494"/>
        <w:gridCol w:w="2608"/>
        <w:gridCol w:w="2494"/>
      </w:tblGrid>
      <w:tr w:rsidR="00D21B0F" w:rsidRPr="00182DA0" w14:paraId="6470F8C2" w14:textId="77777777" w:rsidTr="0018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B2C9A54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Servicio</w:t>
            </w:r>
          </w:p>
        </w:tc>
        <w:tc>
          <w:tcPr>
            <w:tcW w:w="2494" w:type="dxa"/>
          </w:tcPr>
          <w:p w14:paraId="49293685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Método</w:t>
            </w:r>
          </w:p>
        </w:tc>
        <w:tc>
          <w:tcPr>
            <w:tcW w:w="2608" w:type="dxa"/>
          </w:tcPr>
          <w:p w14:paraId="4D1D7A63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Coordina</w:t>
            </w:r>
          </w:p>
        </w:tc>
        <w:tc>
          <w:tcPr>
            <w:tcW w:w="2494" w:type="dxa"/>
          </w:tcPr>
          <w:p w14:paraId="7EECFB48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Delega al dominio</w:t>
            </w:r>
          </w:p>
        </w:tc>
      </w:tr>
      <w:tr w:rsidR="00D21B0F" w:rsidRPr="00182DA0" w14:paraId="6D092CEE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D041134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CotizacionesAppService</w:t>
            </w:r>
          </w:p>
        </w:tc>
        <w:tc>
          <w:tcPr>
            <w:tcW w:w="2494" w:type="dxa"/>
          </w:tcPr>
          <w:p w14:paraId="0014D2DC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82DA0">
              <w:rPr>
                <w:rFonts w:ascii="Arial" w:hAnsi="Arial" w:cs="Arial"/>
                <w:sz w:val="24"/>
                <w:szCs w:val="24"/>
              </w:rPr>
              <w:t>aceptarCotizacion(</w:t>
            </w:r>
            <w:proofErr w:type="gramEnd"/>
            <w:r w:rsidRPr="00182DA0">
              <w:rPr>
                <w:rFonts w:ascii="Arial" w:hAnsi="Arial" w:cs="Arial"/>
                <w:sz w:val="24"/>
                <w:szCs w:val="24"/>
              </w:rPr>
              <w:t>folio, clienteId)</w:t>
            </w:r>
          </w:p>
        </w:tc>
        <w:tc>
          <w:tcPr>
            <w:tcW w:w="2608" w:type="dxa"/>
          </w:tcPr>
          <w:p w14:paraId="39E9E2AB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Obtiene la Cotización, la acepta, crea el Servicio programado y confirma la transacción</w:t>
            </w:r>
          </w:p>
        </w:tc>
        <w:tc>
          <w:tcPr>
            <w:tcW w:w="2494" w:type="dxa"/>
          </w:tcPr>
          <w:p w14:paraId="5CA97C0F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Cotización: solo una cotización Vigente se acepta. Servicio: nace en estado Programado sin cuadrilla (BR-01)</w:t>
            </w:r>
          </w:p>
        </w:tc>
      </w:tr>
      <w:tr w:rsidR="00D21B0F" w:rsidRPr="00182DA0" w14:paraId="01407AF9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40D8C5E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ProgramacionAppService</w:t>
            </w:r>
            <w:proofErr w:type="spellEnd"/>
          </w:p>
        </w:tc>
        <w:tc>
          <w:tcPr>
            <w:tcW w:w="2494" w:type="dxa"/>
          </w:tcPr>
          <w:p w14:paraId="66CEA6D2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82DA0">
              <w:rPr>
                <w:rFonts w:ascii="Arial" w:hAnsi="Arial" w:cs="Arial"/>
                <w:sz w:val="24"/>
                <w:szCs w:val="24"/>
              </w:rPr>
              <w:t>confirmarCuadrilla(</w:t>
            </w:r>
            <w:proofErr w:type="gramEnd"/>
            <w:r w:rsidRPr="00182DA0">
              <w:rPr>
                <w:rFonts w:ascii="Arial" w:hAnsi="Arial" w:cs="Arial"/>
                <w:sz w:val="24"/>
                <w:szCs w:val="24"/>
              </w:rPr>
              <w:t>folio, cuadrillaId, coordinadorId)</w:t>
            </w:r>
          </w:p>
        </w:tc>
        <w:tc>
          <w:tcPr>
            <w:tcW w:w="2608" w:type="dxa"/>
          </w:tcPr>
          <w:p w14:paraId="20E2BABB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Obtiene Servicio y Cuadrilla, consulta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AsignadorDeCuadrilla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, guarda y confirma</w:t>
            </w:r>
          </w:p>
        </w:tc>
        <w:tc>
          <w:tcPr>
            <w:tcW w:w="2494" w:type="dxa"/>
          </w:tcPr>
          <w:p w14:paraId="352255C0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Servicio: transición a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CuadrillaConfirmada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solo si hay disponibilidad (BR-02)</w:t>
            </w:r>
          </w:p>
        </w:tc>
      </w:tr>
      <w:tr w:rsidR="00D21B0F" w:rsidRPr="00182DA0" w14:paraId="0B66C8FF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1BA5C3B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PersonalAppService</w:t>
            </w:r>
            <w:proofErr w:type="spellEnd"/>
          </w:p>
        </w:tc>
        <w:tc>
          <w:tcPr>
            <w:tcW w:w="2494" w:type="dxa"/>
          </w:tcPr>
          <w:p w14:paraId="0570F8A3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proofErr w:type="gram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reportarAusencia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(</w:t>
            </w:r>
            <w:proofErr w:type="gram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folio,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empleadoId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supervisorId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); </w:t>
            </w:r>
            <w:proofErr w:type="spellStart"/>
            <w:proofErr w:type="gram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reasignarPersonal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(</w:t>
            </w:r>
            <w:proofErr w:type="gram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folio,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empleadoId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sustitutoId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adminId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  <w:tc>
          <w:tcPr>
            <w:tcW w:w="2608" w:type="dxa"/>
          </w:tcPr>
          <w:p w14:paraId="59FF42D8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Obtiene Servicio y Empleado, guarda, confirma y avisa por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NotificacionPort</w:t>
            </w:r>
            <w:proofErr w:type="spellEnd"/>
          </w:p>
        </w:tc>
        <w:tc>
          <w:tcPr>
            <w:tcW w:w="2494" w:type="dxa"/>
          </w:tcPr>
          <w:p w14:paraId="30B42E73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Servicio: crea la incidencia, conserva original y sustituto, pasa a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EnRiesgo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sin reemplazo (BR-03)</w:t>
            </w:r>
          </w:p>
        </w:tc>
      </w:tr>
      <w:tr w:rsidR="00D21B0F" w:rsidRPr="00182DA0" w14:paraId="083094B4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139A29A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EjecucionAppService</w:t>
            </w:r>
            <w:proofErr w:type="spellEnd"/>
          </w:p>
        </w:tc>
        <w:tc>
          <w:tcPr>
            <w:tcW w:w="2494" w:type="dxa"/>
          </w:tcPr>
          <w:p w14:paraId="1B1F97C2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82DA0">
              <w:rPr>
                <w:rFonts w:ascii="Arial" w:hAnsi="Arial" w:cs="Arial"/>
                <w:sz w:val="24"/>
                <w:szCs w:val="24"/>
              </w:rPr>
              <w:t>registrarExtra(</w:t>
            </w:r>
            <w:proofErr w:type="gramEnd"/>
            <w:r w:rsidRPr="00182DA0">
              <w:rPr>
                <w:rFonts w:ascii="Arial" w:hAnsi="Arial" w:cs="Arial"/>
                <w:sz w:val="24"/>
                <w:szCs w:val="24"/>
              </w:rPr>
              <w:t>folio, extra, supervisorId)</w:t>
            </w:r>
          </w:p>
        </w:tc>
        <w:tc>
          <w:tcPr>
            <w:tcW w:w="2608" w:type="dxa"/>
          </w:tcPr>
          <w:p w14:paraId="260DAE98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Obtiene Servicio y políticas vigentes, guarda y confirma</w:t>
            </w:r>
          </w:p>
        </w:tc>
        <w:tc>
          <w:tcPr>
            <w:tcW w:w="2494" w:type="dxa"/>
          </w:tcPr>
          <w:p w14:paraId="75EFB646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PoliticaDeExtras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decide si el extra está en el catálogo; Servicio lo registra aceptado o pendiente (BR-04)</w:t>
            </w:r>
          </w:p>
        </w:tc>
      </w:tr>
      <w:tr w:rsidR="00D21B0F" w:rsidRPr="00182DA0" w14:paraId="6FC11830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AC58399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</w:rPr>
              <w:t>CierreAppService</w:t>
            </w:r>
            <w:proofErr w:type="spellEnd"/>
          </w:p>
        </w:tc>
        <w:tc>
          <w:tcPr>
            <w:tcW w:w="2494" w:type="dxa"/>
          </w:tcPr>
          <w:p w14:paraId="165665FE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82DA0">
              <w:rPr>
                <w:rFonts w:ascii="Arial" w:hAnsi="Arial" w:cs="Arial"/>
                <w:sz w:val="24"/>
                <w:szCs w:val="24"/>
              </w:rPr>
              <w:t>cerrarParaFacturacion(</w:t>
            </w:r>
            <w:proofErr w:type="gramEnd"/>
            <w:r w:rsidRPr="00182DA0">
              <w:rPr>
                <w:rFonts w:ascii="Arial" w:hAnsi="Arial" w:cs="Arial"/>
                <w:sz w:val="24"/>
                <w:szCs w:val="24"/>
              </w:rPr>
              <w:t>folio, adminId)</w:t>
            </w:r>
          </w:p>
        </w:tc>
        <w:tc>
          <w:tcPr>
            <w:tcW w:w="2608" w:type="dxa"/>
          </w:tcPr>
          <w:p w14:paraId="0B9379D9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Obtiene Servicio, guarda, confirma y publica el evento por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FacturacionPort</w:t>
            </w:r>
            <w:proofErr w:type="spellEnd"/>
          </w:p>
        </w:tc>
        <w:tc>
          <w:tcPr>
            <w:tcW w:w="2494" w:type="dxa"/>
          </w:tcPr>
          <w:p w14:paraId="33B632A1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Servicio: bloquea el cierre con pendientes y señala cuál falta (BR-07)</w:t>
            </w:r>
          </w:p>
        </w:tc>
      </w:tr>
    </w:tbl>
    <w:p w14:paraId="5DC9D123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2269148B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b/>
          <w:sz w:val="24"/>
          <w:szCs w:val="24"/>
          <w:lang w:val="es-MX"/>
        </w:rPr>
        <w:lastRenderedPageBreak/>
        <w:t>Responsabilidades dudosas señaladas por la IA:</w:t>
      </w:r>
    </w:p>
    <w:p w14:paraId="3445D065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Verificar que quien cierra para facturación sea Administración (RNF-02): puede estar en el servicio de aplicación como permiso de acceso, o en el dominio como regla del actor.</w:t>
      </w:r>
    </w:p>
    <w:p w14:paraId="7558797F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Decidir cuándo un extra «modifica el precio de forma significativa»: el criterio no está definido y no debe quedar en el servicio.</w:t>
      </w:r>
    </w:p>
    <w:p w14:paraId="5E39EFED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aceptarCotizacion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toca dos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Aggregates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(Cotización y Servicio) en una sola operación.</w:t>
      </w:r>
    </w:p>
    <w:p w14:paraId="6FB63B6D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Para reasignar personal hace falta consultar empleados disponibles, lo que requiere un repositorio de empleados.</w:t>
      </w:r>
    </w:p>
    <w:p w14:paraId="3D12A6C1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Revisión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82DA0">
        <w:rPr>
          <w:rFonts w:ascii="Arial" w:hAnsi="Arial" w:cs="Arial"/>
          <w:sz w:val="24"/>
          <w:szCs w:val="24"/>
        </w:rPr>
        <w:t>corrección</w:t>
      </w:r>
      <w:proofErr w:type="spellEnd"/>
    </w:p>
    <w:p w14:paraId="0F941228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Se agregó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EmpleadoRepository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, que no estaba en la primera tabla de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Repository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.</w:t>
      </w:r>
    </w:p>
    <w:p w14:paraId="3E894C6B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El criterio de «precio significativo» se dejó en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ConfiguracionDePoliticas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y no en el servicio.</w:t>
      </w:r>
    </w:p>
    <w:p w14:paraId="34456E14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Quién puede ejecutar cada operación se pasa al dominio como actor con rol, para que la regla del cierre (solo Administración) viva con S12 y no en la capa de aplicación.</w:t>
      </w:r>
    </w:p>
    <w:p w14:paraId="669CBA7F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Para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aceptarCotizacion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se mantuvo la excepción documentada de dos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Aggregates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en una operación; queda como riesgo (ver iteración 4).</w:t>
      </w:r>
    </w:p>
    <w:p w14:paraId="25AB940C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Decisión del equipo</w:t>
      </w:r>
    </w:p>
    <w:p w14:paraId="425B5824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Se conservan los cinco servicios con estas firmas. Los servicios coordinan; los umbrales, los permisos por rol y las transiciones viven en el dominio.</w:t>
      </w:r>
    </w:p>
    <w:p w14:paraId="4551375E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br w:type="page"/>
      </w:r>
    </w:p>
    <w:p w14:paraId="57C5E644" w14:textId="77777777" w:rsidR="00D21B0F" w:rsidRPr="00182DA0" w:rsidRDefault="00000000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lastRenderedPageBreak/>
        <w:t>Iteración 4 · Revisión SOLID</w:t>
      </w:r>
    </w:p>
    <w:p w14:paraId="5E1FA5BA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b/>
          <w:sz w:val="24"/>
          <w:szCs w:val="24"/>
          <w:lang w:val="es-MX"/>
        </w:rPr>
        <w:t>Objetivo: detectar posibles violaciones SOLID del diseño con evidencia, riesgo y alternativas, sin reescribir todo.</w:t>
      </w:r>
    </w:p>
    <w:p w14:paraId="7F25C767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Contexto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2DA0">
        <w:rPr>
          <w:rFonts w:ascii="Arial" w:hAnsi="Arial" w:cs="Arial"/>
          <w:sz w:val="24"/>
          <w:szCs w:val="24"/>
        </w:rPr>
        <w:t>entregado</w:t>
      </w:r>
      <w:proofErr w:type="spellEnd"/>
    </w:p>
    <w:p w14:paraId="675FBDC4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Mapa de dominio (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Aggregates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, Domain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Services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, eventos).</w:t>
      </w:r>
    </w:p>
    <w:p w14:paraId="5EFFF213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</w:rPr>
      </w:pPr>
      <w:proofErr w:type="gramStart"/>
      <w:r w:rsidRPr="00182DA0">
        <w:rPr>
          <w:rFonts w:ascii="Arial" w:hAnsi="Arial" w:cs="Arial"/>
          <w:sz w:val="24"/>
          <w:szCs w:val="24"/>
        </w:rPr>
        <w:t>Service Layer,</w:t>
      </w:r>
      <w:proofErr w:type="gramEnd"/>
      <w:r w:rsidRPr="00182DA0">
        <w:rPr>
          <w:rFonts w:ascii="Arial" w:hAnsi="Arial" w:cs="Arial"/>
          <w:sz w:val="24"/>
          <w:szCs w:val="24"/>
        </w:rPr>
        <w:t xml:space="preserve"> interfaces de Repository, Unit of Work y CQRS básico.</w:t>
      </w:r>
    </w:p>
    <w:p w14:paraId="1BF6B5FF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Diagrama de clases reducido de 22 clases.</w:t>
      </w:r>
    </w:p>
    <w:p w14:paraId="62B0AB1C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r w:rsidRPr="00182DA0">
        <w:rPr>
          <w:rFonts w:ascii="Arial" w:hAnsi="Arial" w:cs="Arial"/>
          <w:sz w:val="24"/>
          <w:szCs w:val="24"/>
        </w:rPr>
        <w:t>Prompt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411"/>
      </w:tblGrid>
      <w:tr w:rsidR="00D21B0F" w:rsidRPr="00182DA0" w14:paraId="7C824FA4" w14:textId="77777777">
        <w:tc>
          <w:tcPr>
            <w:tcW w:w="9411" w:type="dxa"/>
            <w:shd w:val="clear" w:color="auto" w:fill="F2F2F2"/>
          </w:tcPr>
          <w:p w14:paraId="2EA14935" w14:textId="77777777" w:rsidR="00D21B0F" w:rsidRPr="00182DA0" w:rsidRDefault="00000000">
            <w:pPr>
              <w:rPr>
                <w:rFonts w:ascii="Arial" w:hAnsi="Arial" w:cs="Arial"/>
                <w:iCs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Analiza este diseño [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Aggregates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Servicio, Cotización, Cuadrilla, Empleado y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ConfiguracionDePoliticas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; Domain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Services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AsignadorDeCuadrilla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PoliticaDeExtras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; cinco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Application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Services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con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Unit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of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Work; cinco interfaces de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Repository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implementadas por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RepositoriosSql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; puertos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NotificacionPort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FacturacionPort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] y señala posibles violaciones SOLID. No reescribas todo; identifica evidencia, riesgo y alternativas para que el equipo decida.</w:t>
            </w:r>
          </w:p>
        </w:tc>
      </w:tr>
    </w:tbl>
    <w:p w14:paraId="2E363B2B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7188AC5F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Respuesta de la IA (resumen)</w:t>
      </w: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1310"/>
        <w:gridCol w:w="2721"/>
        <w:gridCol w:w="2608"/>
        <w:gridCol w:w="2948"/>
      </w:tblGrid>
      <w:tr w:rsidR="00D21B0F" w:rsidRPr="00182DA0" w14:paraId="6F92BA3D" w14:textId="77777777" w:rsidTr="0018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dxa"/>
          </w:tcPr>
          <w:p w14:paraId="2349AADB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Principio</w:t>
            </w:r>
          </w:p>
        </w:tc>
        <w:tc>
          <w:tcPr>
            <w:tcW w:w="2721" w:type="dxa"/>
          </w:tcPr>
          <w:p w14:paraId="5C2C4E3A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Evidencia</w:t>
            </w:r>
          </w:p>
        </w:tc>
        <w:tc>
          <w:tcPr>
            <w:tcW w:w="2608" w:type="dxa"/>
          </w:tcPr>
          <w:p w14:paraId="2AC1E987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Riesgo</w:t>
            </w:r>
          </w:p>
        </w:tc>
        <w:tc>
          <w:tcPr>
            <w:tcW w:w="2948" w:type="dxa"/>
          </w:tcPr>
          <w:p w14:paraId="6C28AD71" w14:textId="77777777" w:rsidR="00D21B0F" w:rsidRPr="00182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Alternativas</w:t>
            </w:r>
          </w:p>
        </w:tc>
      </w:tr>
      <w:tr w:rsidR="00D21B0F" w:rsidRPr="00182DA0" w14:paraId="1F5FCFA4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dxa"/>
          </w:tcPr>
          <w:p w14:paraId="6AFFAF77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SRP</w:t>
            </w:r>
          </w:p>
        </w:tc>
        <w:tc>
          <w:tcPr>
            <w:tcW w:w="2721" w:type="dxa"/>
          </w:tcPr>
          <w:p w14:paraId="6DFB6B6D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Servicio concentra 13 invariantes (S1 a S13) y 8 estados</w:t>
            </w:r>
          </w:p>
        </w:tc>
        <w:tc>
          <w:tcPr>
            <w:tcW w:w="2608" w:type="dxa"/>
          </w:tcPr>
          <w:p w14:paraId="615536E5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Aggregate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demasiado grande: cada política nueva lo modifica</w:t>
            </w:r>
          </w:p>
        </w:tc>
        <w:tc>
          <w:tcPr>
            <w:tcW w:w="2948" w:type="dxa"/>
          </w:tcPr>
          <w:p w14:paraId="1D27EA9A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Extraer objetos de estado o políticas; dividir si crece, sin hacerlo todavía</w:t>
            </w:r>
          </w:p>
        </w:tc>
      </w:tr>
      <w:tr w:rsidR="00D21B0F" w:rsidRPr="00182DA0" w14:paraId="0D846F60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dxa"/>
          </w:tcPr>
          <w:p w14:paraId="39AD9B2C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SRP / ISP</w:t>
            </w:r>
          </w:p>
        </w:tc>
        <w:tc>
          <w:tcPr>
            <w:tcW w:w="2721" w:type="dxa"/>
          </w:tcPr>
          <w:p w14:paraId="5426C398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RepositoriosSql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implementa las cinco interfaces de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Repository</w:t>
            </w:r>
            <w:proofErr w:type="spellEnd"/>
          </w:p>
        </w:tc>
        <w:tc>
          <w:tcPr>
            <w:tcW w:w="2608" w:type="dxa"/>
          </w:tcPr>
          <w:p w14:paraId="6E2A8B89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Una clase con varias razones para cambiar y con métodos que algunos clientes no usan</w:t>
            </w:r>
          </w:p>
        </w:tc>
        <w:tc>
          <w:tcPr>
            <w:tcW w:w="2948" w:type="dxa"/>
          </w:tcPr>
          <w:p w14:paraId="7138077E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Una implementación por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Repository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(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SqlServicioRepository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, etc.); la caja única solo simplifica el diagrama</w:t>
            </w:r>
          </w:p>
        </w:tc>
      </w:tr>
      <w:tr w:rsidR="00D21B0F" w:rsidRPr="00182DA0" w14:paraId="4051A4D3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dxa"/>
          </w:tcPr>
          <w:p w14:paraId="2CB1806E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ISP</w:t>
            </w:r>
          </w:p>
        </w:tc>
        <w:tc>
          <w:tcPr>
            <w:tcW w:w="2721" w:type="dxa"/>
          </w:tcPr>
          <w:p w14:paraId="3098CB89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ServicioRepository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incluye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obtenerConfirmadosPorFecha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, que solo usa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AsignadorDeCuadrilla</w:t>
            </w:r>
            <w:proofErr w:type="spellEnd"/>
          </w:p>
        </w:tc>
        <w:tc>
          <w:tcPr>
            <w:tcW w:w="2608" w:type="dxa"/>
          </w:tcPr>
          <w:p w14:paraId="70C51CDC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Interfaz que crece con consultas</w:t>
            </w:r>
          </w:p>
        </w:tc>
        <w:tc>
          <w:tcPr>
            <w:tcW w:w="2948" w:type="dxa"/>
          </w:tcPr>
          <w:p w14:paraId="54F118CF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Separar una interfaz de consulta de disponibilidad</w:t>
            </w:r>
          </w:p>
        </w:tc>
      </w:tr>
      <w:tr w:rsidR="00D21B0F" w:rsidRPr="00182DA0" w14:paraId="101C380D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dxa"/>
          </w:tcPr>
          <w:p w14:paraId="172D1483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OCP</w:t>
            </w:r>
          </w:p>
        </w:tc>
        <w:tc>
          <w:tcPr>
            <w:tcW w:w="2721" w:type="dxa"/>
          </w:tcPr>
          <w:p w14:paraId="3778A19C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PoliticaDeExtras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recibe la configuración por parámetro</w:t>
            </w:r>
          </w:p>
        </w:tc>
        <w:tc>
          <w:tcPr>
            <w:tcW w:w="2608" w:type="dxa"/>
          </w:tcPr>
          <w:p w14:paraId="29DCA41B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Bajo mientras el catálogo sea un dato; si aparecen reglas distintas por tipo de extra habrá condicionales</w:t>
            </w:r>
          </w:p>
        </w:tc>
        <w:tc>
          <w:tcPr>
            <w:tcW w:w="2948" w:type="dxa"/>
          </w:tcPr>
          <w:p w14:paraId="10906FC3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Mantener como configuración; pasar a estrategias si las reglas cambian de forma, no solo de valor</w:t>
            </w:r>
          </w:p>
        </w:tc>
      </w:tr>
      <w:tr w:rsidR="00D21B0F" w:rsidRPr="00182DA0" w14:paraId="3150B538" w14:textId="77777777" w:rsidTr="0018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dxa"/>
          </w:tcPr>
          <w:p w14:paraId="259F04A5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LSP</w:t>
            </w:r>
          </w:p>
        </w:tc>
        <w:tc>
          <w:tcPr>
            <w:tcW w:w="2721" w:type="dxa"/>
          </w:tcPr>
          <w:p w14:paraId="6081F113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Los repositorios devuelven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Aggregates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completos y se sustituyen por una versión en memoria en pruebas</w:t>
            </w:r>
          </w:p>
        </w:tc>
        <w:tc>
          <w:tcPr>
            <w:tcW w:w="2608" w:type="dxa"/>
          </w:tcPr>
          <w:p w14:paraId="740A5C83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Bajo, si los contratos no cambian entre implementaciones</w:t>
            </w:r>
          </w:p>
        </w:tc>
        <w:tc>
          <w:tcPr>
            <w:tcW w:w="2948" w:type="dxa"/>
          </w:tcPr>
          <w:p w14:paraId="4C8BFC09" w14:textId="77777777" w:rsidR="00D21B0F" w:rsidRPr="00182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Pruebas de contrato que ejecuten la misma batería sobre ambas implementaciones</w:t>
            </w:r>
          </w:p>
        </w:tc>
      </w:tr>
      <w:tr w:rsidR="00D21B0F" w:rsidRPr="00182DA0" w14:paraId="7FEAD972" w14:textId="77777777" w:rsidTr="00182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dxa"/>
          </w:tcPr>
          <w:p w14:paraId="0044F7EB" w14:textId="77777777" w:rsidR="00D21B0F" w:rsidRPr="00182D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82DA0">
              <w:rPr>
                <w:rFonts w:ascii="Arial" w:hAnsi="Arial" w:cs="Arial"/>
                <w:sz w:val="24"/>
                <w:szCs w:val="24"/>
              </w:rPr>
              <w:t>DIP</w:t>
            </w:r>
          </w:p>
        </w:tc>
        <w:tc>
          <w:tcPr>
            <w:tcW w:w="2721" w:type="dxa"/>
          </w:tcPr>
          <w:p w14:paraId="70E7AC4A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AsignadorDeCuadrilla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(dominio) depende de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ServicioRepository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;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aceptarCotizacion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usa dos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Aggregates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en una operación</w:t>
            </w:r>
          </w:p>
        </w:tc>
        <w:tc>
          <w:tcPr>
            <w:tcW w:w="2608" w:type="dxa"/>
          </w:tcPr>
          <w:p w14:paraId="02C97C63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Un Domain Service </w:t>
            </w: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que consulta repositorios acopla el dominio a la persistencia; y la excepción de dos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Aggregates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rompe la regla de uno por transacción</w:t>
            </w:r>
          </w:p>
        </w:tc>
        <w:tc>
          <w:tcPr>
            <w:tcW w:w="2948" w:type="dxa"/>
          </w:tcPr>
          <w:p w14:paraId="06B59A3D" w14:textId="77777777" w:rsidR="00D21B0F" w:rsidRPr="00182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Pasar la lista de servicios </w:t>
            </w:r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confirmados al Domain Service como dato; reaccionar al evento </w:t>
            </w:r>
            <w:proofErr w:type="spellStart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>CotizacionAceptada</w:t>
            </w:r>
            <w:proofErr w:type="spellEnd"/>
            <w:r w:rsidRPr="00182DA0">
              <w:rPr>
                <w:rFonts w:ascii="Arial" w:hAnsi="Arial" w:cs="Arial"/>
                <w:sz w:val="24"/>
                <w:szCs w:val="24"/>
                <w:lang w:val="es-MX"/>
              </w:rPr>
              <w:t xml:space="preserve"> para crear el Servicio</w:t>
            </w:r>
          </w:p>
        </w:tc>
      </w:tr>
    </w:tbl>
    <w:p w14:paraId="6FA4DF97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23229839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Revisión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82DA0">
        <w:rPr>
          <w:rFonts w:ascii="Arial" w:hAnsi="Arial" w:cs="Arial"/>
          <w:sz w:val="24"/>
          <w:szCs w:val="24"/>
        </w:rPr>
        <w:t>corrección</w:t>
      </w:r>
      <w:proofErr w:type="spellEnd"/>
    </w:p>
    <w:p w14:paraId="013679A2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El hallazgo de SRP sobre Servicio es un riesgo de crecimiento, no un defecto actual. Se documentó y no se dividió el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Aggregate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, porque dividirlo rompería S12 (BR-07).</w:t>
      </w:r>
    </w:p>
    <w:p w14:paraId="21E4F4CD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RepositoriosSql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es una simplificación del diagrama reducido. En el código y en el diagrama completo cada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Repository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tiene su propia implementación.</w:t>
      </w:r>
    </w:p>
    <w:p w14:paraId="679011BF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El hallazgo 3 de la revisión original (LSP) hablaba de uso de interfaces, que es DIP. Se reformuló con el criterio de sustitución mediante pruebas de contrato.</w:t>
      </w:r>
    </w:p>
    <w:p w14:paraId="1D05B759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AsignadorDeCuadrilla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consultando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ServicioRepository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se mantiene por ahora; se anota como compromiso: es una dependencia de lectura a una abstracción, no a SQL.</w:t>
      </w:r>
    </w:p>
    <w:p w14:paraId="7F57A326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Decisión del equipo</w:t>
      </w:r>
    </w:p>
    <w:p w14:paraId="601AF67E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Se corrigen la implementación única de repositorios, la reformulación de LSP y la excepción de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aceptarCotizacion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(quedará documentada como excepción justificada). Los demás hallazgos se registran como riesgos a vigilar.</w:t>
      </w:r>
    </w:p>
    <w:p w14:paraId="056F2C33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br w:type="page"/>
      </w:r>
    </w:p>
    <w:p w14:paraId="14FF4DA3" w14:textId="77777777" w:rsidR="00D21B0F" w:rsidRPr="00182DA0" w:rsidRDefault="00000000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lastRenderedPageBreak/>
        <w:t>Iteración 5 · Diagramas</w:t>
      </w:r>
    </w:p>
    <w:p w14:paraId="21522708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Objetivo: convertir la arquitectura ya validada en borradores </w:t>
      </w:r>
      <w:proofErr w:type="spellStart"/>
      <w:r w:rsidRPr="00182DA0">
        <w:rPr>
          <w:rFonts w:ascii="Arial" w:hAnsi="Arial" w:cs="Arial"/>
          <w:b/>
          <w:sz w:val="24"/>
          <w:szCs w:val="24"/>
          <w:lang w:val="es-MX"/>
        </w:rPr>
        <w:t>Mermaid</w:t>
      </w:r>
      <w:proofErr w:type="spellEnd"/>
      <w:r w:rsidRPr="00182DA0">
        <w:rPr>
          <w:rFonts w:ascii="Arial" w:hAnsi="Arial" w:cs="Arial"/>
          <w:b/>
          <w:sz w:val="24"/>
          <w:szCs w:val="24"/>
          <w:lang w:val="es-MX"/>
        </w:rPr>
        <w:t xml:space="preserve"> del diagrama de clases y de dos diagramas de secuencia, sin agregar clases, reglas ni relaciones nuevas.</w:t>
      </w:r>
    </w:p>
    <w:p w14:paraId="67B015F3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Contexto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2DA0">
        <w:rPr>
          <w:rFonts w:ascii="Arial" w:hAnsi="Arial" w:cs="Arial"/>
          <w:sz w:val="24"/>
          <w:szCs w:val="24"/>
        </w:rPr>
        <w:t>entregado</w:t>
      </w:r>
      <w:proofErr w:type="spellEnd"/>
    </w:p>
    <w:p w14:paraId="69470662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Descripción de la arquitectura validada: 5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Application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Services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, 8 elementos del dominio, 5 interfaces de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Repository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Unit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of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Work, 2 puertos y los adaptadores de infraestructura.</w:t>
      </w:r>
    </w:p>
    <w:p w14:paraId="64CCC826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Secuencias a dibujar: confirmar cuadrilla (CU-02) y cerrar para facturación con bloqueo (CU-05).</w:t>
      </w:r>
    </w:p>
    <w:p w14:paraId="1F273EE3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r w:rsidRPr="00182DA0">
        <w:rPr>
          <w:rFonts w:ascii="Arial" w:hAnsi="Arial" w:cs="Arial"/>
          <w:sz w:val="24"/>
          <w:szCs w:val="24"/>
        </w:rPr>
        <w:t>Prompt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411"/>
      </w:tblGrid>
      <w:tr w:rsidR="00D21B0F" w:rsidRPr="00182DA0" w14:paraId="1B19F607" w14:textId="77777777">
        <w:tc>
          <w:tcPr>
            <w:tcW w:w="9411" w:type="dxa"/>
            <w:shd w:val="clear" w:color="auto" w:fill="F2F2F2"/>
          </w:tcPr>
          <w:p w14:paraId="3FA43F37" w14:textId="77777777" w:rsidR="00D21B0F" w:rsidRPr="00182DA0" w:rsidRDefault="00000000">
            <w:pPr>
              <w:rPr>
                <w:rFonts w:ascii="Arial" w:hAnsi="Arial" w:cs="Arial"/>
                <w:iCs/>
                <w:sz w:val="24"/>
                <w:szCs w:val="24"/>
                <w:lang w:val="es-MX"/>
              </w:rPr>
            </w:pPr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Convierte esta arquitectura validada [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Application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Services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: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CotizacionesAppService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ProgramacionAppService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PersonalAppService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EjecucionAppService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CierreAppService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; dominio: Servicio,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Cotizacion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Incidencia, Extra,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AsignacionDePersonal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Cuadrilla, Empleado,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ConfiguracionDePoliticas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AsignadorDeCuadrilla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PoliticaDeExtras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;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Repository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: Servicio,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Cotizacion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Cuadrilla, Empleado,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Configuracion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;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UnitOfWork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NotificacionPort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FacturacionPort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; infraestructura: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RepositoriosSql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SqlUnitOfWork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NotificacionAdapter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FacturacionEventAdapter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] en un borrador </w:t>
            </w:r>
            <w:proofErr w:type="spellStart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>Mermaid</w:t>
            </w:r>
            <w:proofErr w:type="spellEnd"/>
            <w:r w:rsidRPr="00182DA0">
              <w:rPr>
                <w:rFonts w:ascii="Arial" w:hAnsi="Arial" w:cs="Arial"/>
                <w:iCs/>
                <w:sz w:val="24"/>
                <w:szCs w:val="24"/>
                <w:lang w:val="es-MX"/>
              </w:rPr>
              <w:t xml:space="preserve"> para pegar en draw.io. No agregues clases, reglas o relaciones que no aparezcan en la descripción.</w:t>
            </w:r>
          </w:p>
        </w:tc>
      </w:tr>
    </w:tbl>
    <w:p w14:paraId="4E00243D" w14:textId="77777777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p w14:paraId="767B0CC0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Respuesta de la IA (resumen)</w:t>
      </w:r>
    </w:p>
    <w:p w14:paraId="69A524B9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Un diagrama de clases con 22 clases, separando capas con estereotipos (&lt;&lt;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Aplicacion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&gt;&gt;, &lt;&lt;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Aggregate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Root&gt;&gt;, &lt;&lt;Infraestructura&gt;&gt;), relaciones de dependencia, composición, implementación y agregación.</w:t>
      </w:r>
    </w:p>
    <w:p w14:paraId="7F7EBA86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Una secuencia de flujo principal (confirmar cuadrilla) y una de flujo con regla (cierre bloqueado por BR-07), cuyos participantes son clases del diagrama de clases.</w:t>
      </w:r>
    </w:p>
    <w:p w14:paraId="3BC6A768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El código se entrega como texto plano y se valida con el compilador de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Mermaid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antes de entregarlo.</w:t>
      </w:r>
    </w:p>
    <w:p w14:paraId="4F111D04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182DA0">
        <w:rPr>
          <w:rFonts w:ascii="Arial" w:hAnsi="Arial" w:cs="Arial"/>
          <w:sz w:val="24"/>
          <w:szCs w:val="24"/>
        </w:rPr>
        <w:t>Revisión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82DA0">
        <w:rPr>
          <w:rFonts w:ascii="Arial" w:hAnsi="Arial" w:cs="Arial"/>
          <w:sz w:val="24"/>
          <w:szCs w:val="24"/>
        </w:rPr>
        <w:t>corrección</w:t>
      </w:r>
      <w:proofErr w:type="spellEnd"/>
    </w:p>
    <w:p w14:paraId="5E93134B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La primera versión del diagrama de clases tenía unas 45 clases (cada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Repository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con su implementación SQL, DTO de lectura, puertos y todos los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Value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Objects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). El enunciado pide las clases relevantes del proceso elegido: se redujo a 22.</w:t>
      </w:r>
    </w:p>
    <w:p w14:paraId="4B581337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La primera versión de las secuencias incluía pasos y participantes que no estaban en el diagrama de clases (por ejemplo, un paso «iniciar operación» y anotaciones). </w:t>
      </w:r>
      <w:r w:rsidRPr="00182DA0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182DA0">
        <w:rPr>
          <w:rFonts w:ascii="Arial" w:hAnsi="Arial" w:cs="Arial"/>
          <w:sz w:val="24"/>
          <w:szCs w:val="24"/>
        </w:rPr>
        <w:t>alinearon</w:t>
      </w:r>
      <w:proofErr w:type="spellEnd"/>
      <w:r w:rsidRPr="00182DA0">
        <w:rPr>
          <w:rFonts w:ascii="Arial" w:hAnsi="Arial" w:cs="Arial"/>
          <w:sz w:val="24"/>
          <w:szCs w:val="24"/>
        </w:rPr>
        <w:t xml:space="preserve"> con las clases y se quitaron.</w:t>
      </w:r>
    </w:p>
    <w:p w14:paraId="0CE5FF33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Para que las secuencias fueran consistentes se agregaron tres flechas al diagrama de clases: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ProgramacionAppService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hacia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ServicioRepository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y hacia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UnitOfWork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, y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CierreAppService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hacia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ServicioRepository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.</w:t>
      </w:r>
    </w:p>
    <w:p w14:paraId="6E7BEF50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Mermaid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no agrupa las capas al importarse en draw.io; las franjas de aplicación, dominio e infraestructura se dibujan a mano.</w:t>
      </w:r>
    </w:p>
    <w:p w14:paraId="2398BB36" w14:textId="77777777" w:rsidR="00D21B0F" w:rsidRPr="00182DA0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lastRenderedPageBreak/>
        <w:t xml:space="preserve">En un primer intento el diagrama se generó con otra herramienta, con flechas cruzadas en todas direcciones; se descartó y se usó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Mermaid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>.</w:t>
      </w:r>
    </w:p>
    <w:p w14:paraId="3552D6DE" w14:textId="77777777" w:rsidR="00D21B0F" w:rsidRPr="00182DA0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>Decisión del equipo</w:t>
      </w:r>
    </w:p>
    <w:p w14:paraId="4609CABB" w14:textId="77777777" w:rsidR="00D21B0F" w:rsidRPr="00182DA0" w:rsidRDefault="00000000">
      <w:pPr>
        <w:rPr>
          <w:rFonts w:ascii="Arial" w:hAnsi="Arial" w:cs="Arial"/>
          <w:sz w:val="24"/>
          <w:szCs w:val="24"/>
          <w:lang w:val="es-MX"/>
        </w:rPr>
      </w:pPr>
      <w:r w:rsidRPr="00182DA0">
        <w:rPr>
          <w:rFonts w:ascii="Arial" w:hAnsi="Arial" w:cs="Arial"/>
          <w:sz w:val="24"/>
          <w:szCs w:val="24"/>
          <w:lang w:val="es-MX"/>
        </w:rPr>
        <w:t xml:space="preserve">Se usan el diagrama de clases reducido y las dos secuencias alineadas. Los archivos fuente (.mmd) van en la carpeta </w:t>
      </w:r>
      <w:proofErr w:type="spellStart"/>
      <w:r w:rsidRPr="00182DA0">
        <w:rPr>
          <w:rFonts w:ascii="Arial" w:hAnsi="Arial" w:cs="Arial"/>
          <w:sz w:val="24"/>
          <w:szCs w:val="24"/>
          <w:lang w:val="es-MX"/>
        </w:rPr>
        <w:t>diagrams</w:t>
      </w:r>
      <w:proofErr w:type="spellEnd"/>
      <w:r w:rsidRPr="00182DA0">
        <w:rPr>
          <w:rFonts w:ascii="Arial" w:hAnsi="Arial" w:cs="Arial"/>
          <w:sz w:val="24"/>
          <w:szCs w:val="24"/>
          <w:lang w:val="es-MX"/>
        </w:rPr>
        <w:t xml:space="preserve"> del repositorio.</w:t>
      </w:r>
    </w:p>
    <w:p w14:paraId="748383C6" w14:textId="628D79F3" w:rsidR="00D21B0F" w:rsidRPr="00182DA0" w:rsidRDefault="00D21B0F">
      <w:pPr>
        <w:rPr>
          <w:rFonts w:ascii="Arial" w:hAnsi="Arial" w:cs="Arial"/>
          <w:sz w:val="24"/>
          <w:szCs w:val="24"/>
          <w:lang w:val="es-MX"/>
        </w:rPr>
      </w:pPr>
    </w:p>
    <w:sectPr w:rsidR="00D21B0F" w:rsidRPr="00182DA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392624">
    <w:abstractNumId w:val="8"/>
  </w:num>
  <w:num w:numId="2" w16cid:durableId="1481535143">
    <w:abstractNumId w:val="6"/>
  </w:num>
  <w:num w:numId="3" w16cid:durableId="119417712">
    <w:abstractNumId w:val="5"/>
  </w:num>
  <w:num w:numId="4" w16cid:durableId="647396231">
    <w:abstractNumId w:val="4"/>
  </w:num>
  <w:num w:numId="5" w16cid:durableId="1897009819">
    <w:abstractNumId w:val="7"/>
  </w:num>
  <w:num w:numId="6" w16cid:durableId="39521527">
    <w:abstractNumId w:val="3"/>
  </w:num>
  <w:num w:numId="7" w16cid:durableId="89548402">
    <w:abstractNumId w:val="2"/>
  </w:num>
  <w:num w:numId="8" w16cid:durableId="1509100929">
    <w:abstractNumId w:val="1"/>
  </w:num>
  <w:num w:numId="9" w16cid:durableId="212680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DA0"/>
    <w:rsid w:val="0029639D"/>
    <w:rsid w:val="00326F90"/>
    <w:rsid w:val="003D7532"/>
    <w:rsid w:val="00A50E97"/>
    <w:rsid w:val="00AA1D8D"/>
    <w:rsid w:val="00B47730"/>
    <w:rsid w:val="00CB0664"/>
    <w:rsid w:val="00D21B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303215"/>
  <w14:defaultImageDpi w14:val="300"/>
  <w15:docId w15:val="{E4FFD52C-06EA-4250-8588-443BCB10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182DA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182DA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3045</Words>
  <Characters>16751</Characters>
  <Application>Microsoft Office Word</Application>
  <DocSecurity>0</DocSecurity>
  <Lines>139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Daniel Perez Ordaz</cp:lastModifiedBy>
  <cp:revision>2</cp:revision>
  <dcterms:created xsi:type="dcterms:W3CDTF">2013-12-23T23:15:00Z</dcterms:created>
  <dcterms:modified xsi:type="dcterms:W3CDTF">2026-10-16T08:26:00Z</dcterms:modified>
  <cp:category/>
</cp:coreProperties>
</file>