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ENTREGABLE 01: DOCUMENTO DE PROPUESTA TÉCNICA Y ECONÓMICA</w:t>
      </w:r>
    </w:p>
    <w:p>
      <w:pPr>
        <w:jc w:val="both"/>
      </w:pPr>
      <w:r>
        <w:rPr>
          <w:b/>
        </w:rPr>
        <w:t>Licitación Pública — Proyecto COIL Interdisciplinario (Arquitectura de Big Data + Metodología de la Investigación)</w:t>
      </w:r>
    </w:p>
    <w:p>
      <w:pPr>
        <w:jc w:val="both"/>
      </w:pPr>
      <w:r>
        <w:rPr>
          <w:b/>
        </w:rPr>
        <w:t>Título del Proyecto:</w:t>
      </w:r>
      <w:r>
        <w:t xml:space="preserve"> </w:t>
      </w:r>
      <w:r>
        <w:rPr>
          <w:i/>
        </w:rPr>
        <w:t>Revisión Sistemática PRISMA 2020 y Diseño de una Arquitectura Distribuida en la Nube (AWS) para la Auditoría y Adjudicación Masiva de Órdenes Médicas</w:t>
      </w:r>
    </w:p>
    <w:p>
      <w:pPr>
        <w:pStyle w:val="Heading2"/>
      </w:pPr>
      <w:r>
        <w:rPr>
          <w:color w:val="1F4E79"/>
        </w:rPr>
        <w:t>Índice de la Propuesta</w:t>
      </w:r>
    </w:p>
    <w:p>
      <w:pPr>
        <w:pStyle w:val="ListNumber"/>
      </w:pPr>
      <w:r>
        <w:t>Planteamiento del Problema</w:t>
      </w:r>
    </w:p>
    <w:p>
      <w:pPr>
        <w:pStyle w:val="ListNumber"/>
      </w:pPr>
      <w:r>
        <w:t>Objetivos del Proyecto</w:t>
      </w:r>
    </w:p>
    <w:p>
      <w:pPr>
        <w:pStyle w:val="ListNumber"/>
      </w:pPr>
      <w:r>
        <w:t>Estado del Arte y Metodología PRISMA 2020</w:t>
      </w:r>
    </w:p>
    <w:p>
      <w:pPr>
        <w:pStyle w:val="ListNumber"/>
      </w:pPr>
      <w:r>
        <w:t>Metodología y Plan de Trabajo (Integración COIL)</w:t>
      </w:r>
    </w:p>
    <w:p>
      <w:pPr>
        <w:pStyle w:val="ListNumber"/>
      </w:pPr>
      <w:r>
        <w:t>Análisis Económico Preliminar y Arquitectura de Referencia en AWS</w:t>
      </w:r>
    </w:p>
    <w:p>
      <w:pPr>
        <w:pStyle w:val="ListNumber"/>
      </w:pPr>
      <w:r>
        <w:t>Referencias Bibliográficas (Formato IEEE)</w:t>
      </w:r>
    </w:p>
    <w:p>
      <w:pPr>
        <w:pStyle w:val="Heading2"/>
      </w:pPr>
      <w:r>
        <w:rPr>
          <w:color w:val="1F4E79"/>
        </w:rPr>
        <w:t>1. Planteamiento del Problema</w:t>
      </w:r>
    </w:p>
    <w:p>
      <w:pPr>
        <w:pStyle w:val="Heading3"/>
      </w:pPr>
      <w:r>
        <w:rPr>
          <w:color w:val="2E75B6"/>
        </w:rPr>
        <w:t>1.1. Contexto Global y Regional en Salud Pública</w:t>
      </w:r>
    </w:p>
    <w:p>
      <w:pPr>
        <w:jc w:val="both"/>
      </w:pPr>
      <w:r>
        <w:t>La modernización de los sistemas públicos de aseguramiento y pago en salud enfrenta un cuello de botella crítico cuando el volumen transaccional exige conciliar millones de prestaciones diarias contra marcos normativos complejos y evidencia clínica no estructurada [1]. Entidades gubernamentales como la Administradora de los Recursos del Sistema General de Seguridad Social en Salud (</w:t>
      </w:r>
      <w:r>
        <w:rPr>
          <w:b/>
        </w:rPr>
        <w:t>ADRES</w:t>
      </w:r>
      <w:r>
        <w:t>) en Colombia, el Fondo Nacional de Salud (</w:t>
      </w:r>
      <w:r>
        <w:rPr>
          <w:b/>
        </w:rPr>
        <w:t>Fonasa</w:t>
      </w:r>
      <w:r>
        <w:t>) en Chile, el Departamento de Informática del Sistema Único de Salud (</w:t>
      </w:r>
      <w:r>
        <w:rPr>
          <w:b/>
        </w:rPr>
        <w:t>DATASUS</w:t>
      </w:r>
      <w:r>
        <w:t xml:space="preserve">) en Brasil, la </w:t>
      </w:r>
      <w:r>
        <w:rPr>
          <w:i/>
        </w:rPr>
        <w:t>NHS Business Services Authority</w:t>
      </w:r>
      <w:r>
        <w:t xml:space="preserve"> (</w:t>
      </w:r>
      <w:r>
        <w:rPr>
          <w:b/>
        </w:rPr>
        <w:t>NHSBSA</w:t>
      </w:r>
      <w:r>
        <w:t xml:space="preserve">) en el Reino Unido y los </w:t>
      </w:r>
      <w:r>
        <w:rPr>
          <w:i/>
        </w:rPr>
        <w:t>Centers for Medicare &amp; Medicaid Services</w:t>
      </w:r>
      <w:r>
        <w:t xml:space="preserve"> (</w:t>
      </w:r>
      <w:r>
        <w:rPr>
          <w:b/>
        </w:rPr>
        <w:t>CMS</w:t>
      </w:r>
      <w:r>
        <w:t>) en los Estados Unidos operan bajo la presión simultánea de acelerar el flujo de caja hacia clínicas y hospitales mientras contienen el fraude, el desperdicio y el abuso (</w:t>
      </w:r>
      <w:r>
        <w:rPr>
          <w:i/>
        </w:rPr>
        <w:t>Fraud, Waste, and Abuse</w:t>
      </w:r>
      <w:r>
        <w:t xml:space="preserve"> - FWA) [2]. Tan solo en el programa Medicare de los Estados Unidos, con un gasto anual superior a los $903.000 millones de dólares, las pérdidas por fraude e improcedencias se estiman en un </w:t>
      </w:r>
      <w:r>
        <w:rPr>
          <w:b/>
        </w:rPr>
        <w:t>10\,%</w:t>
      </w:r>
      <w:r>
        <w:t xml:space="preserve"> del presupuesto, habiendo recuperado el gobierno federal más de $1.800 millones de dólares anuales mediante litigios y auditorías retrospectivas [8].</w:t>
      </w:r>
    </w:p>
    <w:p>
      <w:pPr>
        <w:pStyle w:val="Heading3"/>
      </w:pPr>
      <w:r>
        <w:rPr>
          <w:color w:val="2E75B6"/>
        </w:rPr>
        <w:t>1.2. Magnitud del Desafío Computacional y Desglose de la Glosa Médica</w:t>
      </w:r>
    </w:p>
    <w:p>
      <w:pPr>
        <w:jc w:val="both"/>
      </w:pPr>
      <w:r>
        <w:t xml:space="preserve">El desafío arquitectónico objeto de esta licitación consiste en procesar, auditar y adjudicar un volumen total de </w:t>
      </w:r>
      <w:r>
        <w:rPr>
          <w:b/>
        </w:rPr>
        <w:t>12 millones de órdenes médicas</w:t>
      </w:r>
      <w:r>
        <w:t xml:space="preserve"> (12 × 10^6) en una ventana fija inferior a </w:t>
      </w:r>
      <w:r>
        <w:rPr>
          <w:b/>
        </w:rPr>
        <w:t>24 horas</w:t>
      </w:r>
      <w:r>
        <w:t xml:space="preserve"> sobre </w:t>
      </w:r>
      <w:r>
        <w:rPr>
          <w:b/>
        </w:rPr>
        <w:t>Amazon Web Services (AWS)</w:t>
      </w:r>
      <w:r>
        <w:t>. Este requerimiento demanda:</w:t>
      </w:r>
    </w:p>
    <w:p>
      <w:pPr>
        <w:pStyle w:val="ListBullet"/>
      </w:pPr>
      <w:r>
        <w:rPr>
          <w:b/>
        </w:rPr>
        <w:t>Caudal continuo (24 horas):</w:t>
      </w:r>
      <w:r>
        <w:t xml:space="preserve"> Un rendimiento sostenido mínimo de </w:t>
      </w:r>
      <w:r>
        <w:rPr>
          <w:b/>
        </w:rPr>
        <w:t>139 órdenes/segundo</w:t>
      </w:r>
      <w:r>
        <w:t xml:space="preserve"> ((12.000.000 / 86.400 s) ≈ 138,89 órdenes/s) durante 24 horas continuas.</w:t>
      </w:r>
    </w:p>
    <w:p>
      <w:pPr>
        <w:pStyle w:val="ListBullet"/>
      </w:pPr>
      <w:r>
        <w:rPr>
          <w:b/>
        </w:rPr>
        <w:t>Rendimiento en ventana batch (3 horas):</w:t>
      </w:r>
      <w:r>
        <w:t xml:space="preserve"> Un caudal efectivo de </w:t>
      </w:r>
      <w:r>
        <w:rPr>
          <w:b/>
        </w:rPr>
        <w:t>1.111 órdenes/segundo</w:t>
      </w:r>
      <w:r>
        <w:t xml:space="preserve"> ((12.000.000 / 10.800 s) ≈ 1.111,11 órdenes/s) cuando la ventana de procesamiento por lotes (</w:t>
      </w:r>
      <w:r>
        <w:rPr>
          <w:i/>
        </w:rPr>
        <w:t>batch</w:t>
      </w:r>
      <w:r>
        <w:t xml:space="preserve">) nocturno se acota a </w:t>
      </w:r>
      <w:r>
        <w:rPr>
          <w:b/>
        </w:rPr>
        <w:t>3 horas operativas</w:t>
      </w:r>
      <w:r>
        <w:t xml:space="preserve"> para permitir cierres contables, reintentos e integración con los sistemas financieros de giro directo [10].</w:t>
      </w:r>
    </w:p>
    <w:p>
      <w:pPr>
        <w:jc w:val="both"/>
      </w:pPr>
      <w:r>
        <w:t xml:space="preserve">Cada orden médica recibida combina atributos estructurados con una </w:t>
      </w:r>
      <w:r>
        <w:rPr>
          <w:b/>
        </w:rPr>
        <w:t>glosa médica en texto libre</w:t>
      </w:r>
      <w:r>
        <w:t>, lo que exige ejecutar tres operaciones críticas por registro:</w:t>
      </w:r>
    </w:p>
    <w:p>
      <w:pPr>
        <w:pStyle w:val="ListNumber"/>
      </w:pPr>
      <w:r>
        <w:rPr>
          <w:b/>
        </w:rPr>
        <w:t>Extracción de entidades clínicas (NLP):</w:t>
      </w:r>
      <w:r>
        <w:t xml:space="preserve"> Identificación precisa a partir de texto clínico no estructurado de los datos del </w:t>
      </w:r>
      <w:r>
        <w:rPr>
          <w:b/>
        </w:rPr>
        <w:t>paciente</w:t>
      </w:r>
      <w:r>
        <w:t xml:space="preserve">, </w:t>
      </w:r>
      <w:r>
        <w:rPr>
          <w:b/>
        </w:rPr>
        <w:t>edad</w:t>
      </w:r>
      <w:r>
        <w:t xml:space="preserve">, </w:t>
      </w:r>
      <w:r>
        <w:rPr>
          <w:b/>
        </w:rPr>
        <w:t>diagnósticos</w:t>
      </w:r>
      <w:r>
        <w:t xml:space="preserve"> y </w:t>
      </w:r>
      <w:r>
        <w:rPr>
          <w:b/>
        </w:rPr>
        <w:t>medicamentos</w:t>
      </w:r>
      <w:r>
        <w:t xml:space="preserve"> con sus respectivas posologías (principio activo, concentración, dosis, frecuencia y cantidad), alcanzando una métrica de calidad de </w:t>
      </w:r>
      <w:r>
        <w:rPr>
          <w:b/>
        </w:rPr>
        <w:t>F1-score ≥ 0,92</w:t>
      </w:r>
      <w:r>
        <w:t>.</w:t>
      </w:r>
    </w:p>
    <w:p>
      <w:pPr>
        <w:pStyle w:val="ListNumber"/>
      </w:pPr>
      <w:r>
        <w:rPr>
          <w:b/>
        </w:rPr>
        <w:t>Clasificación determinista y semántica de pertinencia:</w:t>
      </w:r>
      <w:r>
        <w:t xml:space="preserve"> Evaluación cruzada de la entidad clínica extraída frente al catálogo normativo vigente para dictaminar de forma binaria la cobertura (</w:t>
      </w:r>
      <w:r>
        <w:rPr>
          <w:b/>
        </w:rPr>
        <w:t>Cubre / No cubre</w:t>
      </w:r>
      <w:r>
        <w:t>).</w:t>
      </w:r>
    </w:p>
    <w:p>
      <w:pPr>
        <w:pStyle w:val="ListNumber"/>
      </w:pPr>
      <w:r>
        <w:rPr>
          <w:b/>
        </w:rPr>
        <w:t>Liquidación financiera escalonada:</w:t>
      </w:r>
      <w:r>
        <w:t xml:space="preserve"> Cálculo matemático exacto del porcentaje de reconocimiento financiero (</w:t>
      </w:r>
      <w:r>
        <w:rPr>
          <w:b/>
        </w:rPr>
        <w:t>100\,%, 50\,% o 25\,%</w:t>
      </w:r>
      <w:r>
        <w:t xml:space="preserve"> según las reglas de negocio aplicables a la edad, patología y grupo terapéutico, o </w:t>
      </w:r>
      <w:r>
        <w:rPr>
          <w:b/>
        </w:rPr>
        <w:t>0\,%</w:t>
      </w:r>
      <w:r>
        <w:t xml:space="preserve"> en caso de rechazo), logrando una </w:t>
      </w:r>
      <w:r>
        <w:rPr>
          <w:b/>
        </w:rPr>
        <w:t>reducción de costos operativos ≥ 70\,%</w:t>
      </w:r>
      <w:r>
        <w:t xml:space="preserve"> frente a las arquitecturas transaccionales tradicionales [12], [13].</w:t>
      </w:r>
    </w:p>
    <w:p>
      <w:pPr>
        <w:pStyle w:val="Heading3"/>
      </w:pPr>
      <w:r>
        <w:rPr>
          <w:color w:val="2E75B6"/>
        </w:rPr>
        <w:t>1.3. Variables Críticas de Diseño Arquitectónico</w:t>
      </w:r>
    </w:p>
    <w:p>
      <w:pPr>
        <w:jc w:val="both"/>
      </w:pPr>
      <w:r>
        <w:t>Para que la solución sea técnica, económica y jurídicamente viable para un pagador estatal, la arquitectura propuesta debe optimizar simultáneamente cuatro variables críticas:</w:t>
      </w:r>
    </w:p>
    <w:p>
      <w:pPr>
        <w:pStyle w:val="ListBullet"/>
      </w:pPr>
      <w:r>
        <w:rPr>
          <w:b/>
        </w:rPr>
        <w:t>Tiempo (Latencia y *Throughput*):</w:t>
      </w:r>
      <w:r>
        <w:t xml:space="preserve"> Garantizar el cumplimiento estricto del acuerdo de nivel de servicio (SLA) de &lt; 24 horas (objetivo operativo de &lt; 3 horas en ventana </w:t>
      </w:r>
      <w:r>
        <w:rPr>
          <w:i/>
        </w:rPr>
        <w:t>batch</w:t>
      </w:r>
      <w:r>
        <w:t xml:space="preserve"> a 1.111 órdenes/s), evitando el estrangulamiento por cuotas de llamadas API o límites de concurrencia.</w:t>
      </w:r>
    </w:p>
    <w:p>
      <w:pPr>
        <w:pStyle w:val="ListBullet"/>
      </w:pPr>
      <w:r>
        <w:rPr>
          <w:b/>
        </w:rPr>
        <w:t>Costo (TCO y Costo Marginal):</w:t>
      </w:r>
      <w:r>
        <w:t xml:space="preserve"> Evitar modelos de facturación lineal por transacción o por bloques de caracteres que desfinancian el presupuesto público, logrando una </w:t>
      </w:r>
      <w:r>
        <w:rPr>
          <w:b/>
        </w:rPr>
        <w:t>reducción de costos ≥ 70\,%</w:t>
      </w:r>
      <w:r>
        <w:t xml:space="preserve"> mediante el uso de cómputo distribuido efímero e instancias </w:t>
      </w:r>
      <w:r>
        <w:rPr>
          <w:i/>
        </w:rPr>
        <w:t>Spot</w:t>
      </w:r>
      <w:r>
        <w:t>.</w:t>
      </w:r>
    </w:p>
    <w:p>
      <w:pPr>
        <w:pStyle w:val="ListBullet"/>
      </w:pPr>
      <w:r>
        <w:rPr>
          <w:b/>
        </w:rPr>
        <w:t>Escalabilidad Horizontal:</w:t>
      </w:r>
      <w:r>
        <w:t xml:space="preserve"> Desacoplar por completo el almacenamiento de objetos del cómputo distribuido en memoria, permitiendo absorber picos estacionales de facturación hospitalaria sin degradación del rendimiento ni bloqueos de base de datos relacional.</w:t>
      </w:r>
    </w:p>
    <w:p>
      <w:pPr>
        <w:pStyle w:val="ListBullet"/>
      </w:pPr>
      <w:r>
        <w:rPr>
          <w:b/>
        </w:rPr>
        <w:t>Trazabilidad e Inmutabilidad Auditable:</w:t>
      </w:r>
      <w:r>
        <w:t xml:space="preserve"> Mantener un linaje de datos inmutable a nivel de columna, versión de regla y posición exacta de caracteres (</w:t>
      </w:r>
      <w:r>
        <w:rPr>
          <w:i/>
        </w:rPr>
        <w:t>character offsets</w:t>
      </w:r>
      <w:r>
        <w:t>) para sustentar jurídicamente cada glosa o pago parcial (100\,%, 50\,% o 25\,%) ante tribunales administrativos y entes de control fiscal [13], [14].</w:t>
      </w:r>
    </w:p>
    <w:p>
      <w:pPr>
        <w:pStyle w:val="Heading2"/>
      </w:pPr>
      <w:r>
        <w:rPr>
          <w:color w:val="1F4E79"/>
        </w:rPr>
        <w:t>2. Objetivos del Proyecto</w:t>
      </w:r>
    </w:p>
    <w:p>
      <w:pPr>
        <w:pStyle w:val="Heading3"/>
      </w:pPr>
      <w:r>
        <w:rPr>
          <w:color w:val="2E75B6"/>
        </w:rPr>
        <w:t>2.1. Objetivo General</w:t>
      </w:r>
    </w:p>
    <w:p>
      <w:pPr>
        <w:jc w:val="both"/>
      </w:pPr>
      <w:r>
        <w:t xml:space="preserve">Diseñar, fundamentar científicamente y validar a nivel técnico-económico una </w:t>
      </w:r>
      <w:r>
        <w:rPr>
          <w:b/>
        </w:rPr>
        <w:t>Arquitectura Distribuida en la Nube sobre Amazon Web Services (AWS)</w:t>
      </w:r>
      <w:r>
        <w:t xml:space="preserve"> capaz de procesar, auditar mediante procesamiento de lenguaje natural (NLP) y adjudicar financieramente </w:t>
      </w:r>
      <w:r>
        <w:rPr>
          <w:b/>
        </w:rPr>
        <w:t>12 millones de órdenes médicas en menos de 24 horas</w:t>
      </w:r>
      <w:r>
        <w:t xml:space="preserve"> (con ventana operativa objetivo de 3 horas a 1.111 órdenes/segundo), garantizando una precisión clínica de </w:t>
      </w:r>
      <w:r>
        <w:rPr>
          <w:b/>
        </w:rPr>
        <w:t>F1-score ≥ 0,92</w:t>
      </w:r>
      <w:r>
        <w:t xml:space="preserve">, una </w:t>
      </w:r>
      <w:r>
        <w:rPr>
          <w:b/>
        </w:rPr>
        <w:t>reducción de costos operativos ≥ 70\,%</w:t>
      </w:r>
      <w:r>
        <w:t xml:space="preserve"> y una trazabilidad inmutable de extremo a extremo.</w:t>
      </w:r>
    </w:p>
    <w:p>
      <w:pPr>
        <w:pStyle w:val="Heading3"/>
      </w:pPr>
      <w:r>
        <w:rPr>
          <w:color w:val="2E75B6"/>
        </w:rPr>
        <w:t>2.2. Objetivos Específicos</w:t>
      </w:r>
    </w:p>
    <w:p>
      <w:pPr>
        <w:pStyle w:val="ListNumber"/>
      </w:pPr>
      <w:r>
        <w:rPr>
          <w:b/>
        </w:rPr>
        <w:t>Diagnóstico Operativo y Formalización de Reglas de Negocio:</w:t>
      </w:r>
      <w:r>
        <w:t xml:space="preserve"> Caracterizar la estructura de las órdenes médicas y glosas clínicas (paciente, edad, diagnósticos y medicamentos), formalizando el modelo lógico determinista que rige la decisión de cobertura (</w:t>
      </w:r>
      <w:r>
        <w:rPr>
          <w:b/>
        </w:rPr>
        <w:t>Cubre / No cubre</w:t>
      </w:r>
      <w:r>
        <w:t>) y la liquidación escalonada de porcentajes de reconocimiento (</w:t>
      </w:r>
      <w:r>
        <w:rPr>
          <w:b/>
        </w:rPr>
        <w:t>100\,%, 50\,% o 25\,%</w:t>
      </w:r>
      <w:r>
        <w:t>).</w:t>
      </w:r>
    </w:p>
    <w:p>
      <w:pPr>
        <w:pStyle w:val="ListNumber"/>
      </w:pPr>
      <w:r>
        <w:rPr>
          <w:b/>
        </w:rPr>
        <w:t>Fundamentación Científica mediante Revisión Sistemática PRISMA 2020:</w:t>
      </w:r>
      <w:r>
        <w:t xml:space="preserve"> Ejecutar una revisión sistemática rigurosa de la literatura científica indexada y de reportes técnicos gubernamentales (2020–2026) bajo el protocolo </w:t>
      </w:r>
      <w:r>
        <w:rPr>
          <w:b/>
        </w:rPr>
        <w:t>PRISMA 2020</w:t>
      </w:r>
      <w:r>
        <w:t xml:space="preserve"> y el marco </w:t>
      </w:r>
      <w:r>
        <w:rPr>
          <w:b/>
        </w:rPr>
        <w:t>PICO</w:t>
      </w:r>
      <w:r>
        <w:t>, estableciendo una taxonomía crítica del estado del arte e identificando las brechas del mercado (</w:t>
      </w:r>
      <w:r>
        <w:rPr>
          <w:i/>
        </w:rPr>
        <w:t>market gaps</w:t>
      </w:r>
      <w:r>
        <w:t>).</w:t>
      </w:r>
    </w:p>
    <w:p>
      <w:pPr>
        <w:pStyle w:val="ListNumber"/>
      </w:pPr>
      <w:r>
        <w:rPr>
          <w:b/>
        </w:rPr>
        <w:t>Diseño de la Arquitectura Distribuida en AWS y Linaje de Datos:</w:t>
      </w:r>
      <w:r>
        <w:t xml:space="preserve"> Especificar una arquitectura </w:t>
      </w:r>
      <w:r>
        <w:rPr>
          <w:i/>
        </w:rPr>
        <w:t>Data Lakehouse</w:t>
      </w:r>
      <w:r>
        <w:t xml:space="preserve"> abierta de cinco capas sobre AWS (integrando Amazon S3, Amazon EMR con procesadores Graviton2, Apache Spark, Spark NLP, SparkRules y Apache Iceberg) que garantice escalabilidad horizontal, aislamiento transaccional ACID y auditoría forense mediante viaje en el tiempo (</w:t>
      </w:r>
      <w:r>
        <w:rPr>
          <w:i/>
        </w:rPr>
        <w:t>Time Travel</w:t>
      </w:r>
      <w:r>
        <w:t>).</w:t>
      </w:r>
    </w:p>
    <w:p>
      <w:pPr>
        <w:pStyle w:val="ListNumber"/>
      </w:pPr>
      <w:r>
        <w:rPr>
          <w:b/>
        </w:rPr>
        <w:t>Prototipado Funcional y Evaluación Económica Preliminar:</w:t>
      </w:r>
      <w:r>
        <w:t xml:space="preserve"> Desarrollar la ruta metodológica de implementación bajo el esquema colaborativo internacional </w:t>
      </w:r>
      <w:r>
        <w:rPr>
          <w:b/>
        </w:rPr>
        <w:t>COIL</w:t>
      </w:r>
      <w:r>
        <w:t xml:space="preserve"> y cuantificar el Costo Total de Propiedad (TCO) y el costo marginal diario por millón de órdenes adjudicadas, demostrando empíricamente un ahorro ≥ 70\,% frente a soluciones propietarias (</w:t>
      </w:r>
      <w:r>
        <w:rPr>
          <w:i/>
        </w:rPr>
        <w:t>COTS/Clearinghouses</w:t>
      </w:r>
      <w:r>
        <w:t xml:space="preserve">) y arquitecturas </w:t>
      </w:r>
      <w:r>
        <w:rPr>
          <w:i/>
        </w:rPr>
        <w:t>Serverless</w:t>
      </w:r>
      <w:r>
        <w:t xml:space="preserve"> basadas en APIs por caracteres.</w:t>
      </w:r>
    </w:p>
    <w:p>
      <w:pPr>
        <w:pStyle w:val="Heading2"/>
      </w:pPr>
      <w:r>
        <w:rPr>
          <w:color w:val="1F4E79"/>
        </w:rPr>
        <w:t>3. Estado del Arte y Metodología PRISMA 2020</w:t>
      </w:r>
    </w:p>
    <w:p>
      <w:pPr>
        <w:jc w:val="both"/>
      </w:pPr>
      <w:r>
        <w:t xml:space="preserve">Para fundamentar las decisiones de ingeniería de software y arquitectura de datos en evidencia empírica reproducible, el presente estudio ejecuta una revisión sistemática de la literatura científica y de los reportes técnicos de la industria siguiendo de forma estricta la declaración </w:t>
      </w:r>
      <w:r>
        <w:rPr>
          <w:b/>
        </w:rPr>
        <w:t>PRISMA 2020</w:t>
      </w:r>
      <w:r>
        <w:t xml:space="preserve"> (</w:t>
      </w:r>
      <w:r>
        <w:rPr>
          <w:i/>
        </w:rPr>
        <w:t>Preferred Reporting Items for Systematic Reviews and Meta-Analyses</w:t>
      </w:r>
      <w:r>
        <w:t>).</w:t>
      </w:r>
    </w:p>
    <w:p>
      <w:pPr>
        <w:pStyle w:val="Heading3"/>
      </w:pPr>
      <w:r>
        <w:rPr>
          <w:color w:val="2E75B6"/>
        </w:rPr>
        <w:t>3.1. Formulación PICO y Preguntas de Investigación</w:t>
      </w:r>
    </w:p>
    <w:p>
      <w:pPr>
        <w:jc w:val="both"/>
      </w:pPr>
      <w:r>
        <w:t xml:space="preserve">La estructuración del problema de investigación se rige por el marco metodológico </w:t>
      </w:r>
      <w:r>
        <w:rPr>
          <w:b/>
        </w:rPr>
        <w:t>PICO</w:t>
      </w:r>
      <w:r>
        <w:t xml:space="preserve"> (</w:t>
      </w:r>
      <w:r>
        <w:rPr>
          <w:i/>
        </w:rPr>
        <w:t>Population, Intervention, Comparison, Outcome</w:t>
      </w:r>
      <w:r>
        <w:t>), adaptado a la ingeniería de sistemas distribuidos e informática médica. A partir de este marco se abordan tres interrogantes fundamentales:</w:t>
      </w:r>
    </w:p>
    <w:p>
      <w:pPr>
        <w:pStyle w:val="ListNumber"/>
      </w:pPr>
      <w:r>
        <w:t>Determinar qué paradigma de cómputo distribuido en AWS (</w:t>
      </w:r>
      <w:r>
        <w:rPr>
          <w:i/>
        </w:rPr>
        <w:t>Batch</w:t>
      </w:r>
      <w:r>
        <w:t xml:space="preserve"> con Apache Spark en EMR o Glue frente a </w:t>
      </w:r>
      <w:r>
        <w:rPr>
          <w:i/>
        </w:rPr>
        <w:t>Serverless</w:t>
      </w:r>
      <w:r>
        <w:t xml:space="preserve"> dirigido por eventos) maximiza la relación rendimiento-costo para procesar </w:t>
      </w:r>
      <w:r>
        <w:rPr>
          <w:b/>
        </w:rPr>
        <w:t>12 millones de órdenes médicas</w:t>
      </w:r>
      <w:r>
        <w:t xml:space="preserve"> en ventanas fijas menores a 24 horas (139 órdenes/s continuo o 1.111 órdenes/s en ventana </w:t>
      </w:r>
      <w:r>
        <w:rPr>
          <w:i/>
        </w:rPr>
        <w:t>batch</w:t>
      </w:r>
      <w:r>
        <w:t xml:space="preserve"> de 3 horas) [11].</w:t>
      </w:r>
    </w:p>
    <w:p>
      <w:pPr>
        <w:pStyle w:val="ListNumber"/>
      </w:pPr>
      <w:r>
        <w:t xml:space="preserve">Caracterizar la arquitectura operativa y las limitaciones económicas de los grandes pagadores públicos (CMS, NHSBSA, DATASUS, Fonasa, ADRES) y </w:t>
      </w:r>
      <w:r>
        <w:rPr>
          <w:i/>
        </w:rPr>
        <w:t>clearinghouses</w:t>
      </w:r>
      <w:r>
        <w:t xml:space="preserve"> privados (Optum/Change Healthcare, Cognizant TriZetto) [3].</w:t>
      </w:r>
    </w:p>
    <w:p>
      <w:pPr>
        <w:pStyle w:val="ListNumber"/>
      </w:pPr>
      <w:r>
        <w:t xml:space="preserve">Identificar las técnicas de procesamiento distribuido de lenguaje natural (NLP) y evaluación de reglas de negocio que alcanzan un </w:t>
      </w:r>
      <w:r>
        <w:rPr>
          <w:b/>
        </w:rPr>
        <w:t>F1-score ≥ 0,92</w:t>
      </w:r>
      <w:r>
        <w:t xml:space="preserve"> y preservan la trazabilidad determinista sin incurrir en costos prohibitivos de inferencia [16].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Componente PICO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Definición Técnica en el Contexto del Proyecto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Parámetros Cuantitativos y Operativos</w:t>
            </w:r>
          </w:p>
        </w:tc>
      </w:tr>
      <w:tr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P (Población / Problema)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Cargas de trabajo masivas de órdenes médicas, prescripciones y reclamaciones de salud que combinan atributos estructurados (tarifas, códigos de procedimientos) con texto clínico no estructurado (glosas médicas, evoluciones, historia clínica).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Volumen total de </w:t>
            </w:r>
            <w:r>
              <w:rPr>
                <w:b/>
                <w:sz w:val="19"/>
              </w:rPr>
              <w:t>12 millones de órdenes médicas</w:t>
            </w:r>
            <w:r>
              <w:rPr>
                <w:sz w:val="19"/>
              </w:rPr>
              <w:t xml:space="preserve"> diarias; ventana de procesamiento &lt; 24 h (</w:t>
            </w:r>
            <w:r>
              <w:rPr>
                <w:b/>
                <w:sz w:val="19"/>
              </w:rPr>
              <w:t>139 órdenes/s</w:t>
            </w:r>
            <w:r>
              <w:rPr>
                <w:sz w:val="19"/>
              </w:rPr>
              <w:t xml:space="preserve"> en 24 h o </w:t>
            </w:r>
            <w:r>
              <w:rPr>
                <w:b/>
                <w:sz w:val="19"/>
              </w:rPr>
              <w:t>1.111 órdenes/s</w:t>
            </w:r>
            <w:r>
              <w:rPr>
                <w:sz w:val="19"/>
              </w:rPr>
              <w:t xml:space="preserve"> en ventana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de 3 h); extracción de paciente, edad y medicamentos [15].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b/>
                <w:sz w:val="19"/>
              </w:rPr>
              <w:t>I (Intervención)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 xml:space="preserve">Arquitecturas distribuidas en la nube (AWS) basadas en procesamiento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unificado (Apache Spark sobre Amazon EMR o AWS Glue), </w:t>
            </w:r>
            <w:r>
              <w:rPr>
                <w:i/>
                <w:sz w:val="19"/>
              </w:rPr>
              <w:t>Data Lakehouse</w:t>
            </w:r>
            <w:r>
              <w:rPr>
                <w:sz w:val="19"/>
              </w:rPr>
              <w:t xml:space="preserve"> abierto (Apache Iceberg / Delta Lake), NLP distribuido (Spark NLP / modelos biomédicos con adaptadores LoRA) y motores de reglas distribuidos (Drools / SparkRules).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 xml:space="preserve">Escalabilidad horizontal en clústeres efímeros con instancias EC2 Spot/Graviton2, transacciones ACID, </w:t>
            </w:r>
            <w:r>
              <w:rPr>
                <w:i/>
                <w:sz w:val="19"/>
              </w:rPr>
              <w:t>time-travel</w:t>
            </w:r>
            <w:r>
              <w:rPr>
                <w:sz w:val="19"/>
              </w:rPr>
              <w:t xml:space="preserve"> y auditoría explicable de reglas [11].</w:t>
            </w:r>
          </w:p>
        </w:tc>
      </w:tr>
      <w:tr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C (Comparación)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Arquitecturas heredadas en servidores locales (</w:t>
            </w:r>
            <w:r>
              <w:rPr>
                <w:i/>
                <w:sz w:val="19"/>
              </w:rPr>
              <w:t>Legacy On-Premise</w:t>
            </w:r>
            <w:r>
              <w:rPr>
                <w:sz w:val="19"/>
              </w:rPr>
              <w:t xml:space="preserve"> en COBOL/Mainframe), motores comerciales propietarios de </w:t>
            </w:r>
            <w:r>
              <w:rPr>
                <w:i/>
                <w:sz w:val="19"/>
              </w:rPr>
              <w:t>clearinghouses</w:t>
            </w:r>
            <w:r>
              <w:rPr>
                <w:sz w:val="19"/>
              </w:rPr>
              <w:t xml:space="preserve"> (Cognizant TriZetto Facets/QNXT, Optum CES / Change Healthcare) y arquitecturas puramente </w:t>
            </w:r>
            <w:r>
              <w:rPr>
                <w:i/>
                <w:sz w:val="19"/>
              </w:rPr>
              <w:t>Serverless</w:t>
            </w:r>
            <w:r>
              <w:rPr>
                <w:sz w:val="19"/>
              </w:rPr>
              <w:t xml:space="preserve"> o dirigidas por eventos (AWS Lambda, Step Functions, Amazon Comprehend Medical API).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Comparación frente a mainframes IBM z/OS (CMS FISS/MCS/CWF), licenciamiento por transacción (PMPM) o facturación por unidades de 100 caracteres en APIs gestionadas [3].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b/>
                <w:sz w:val="19"/>
              </w:rPr>
              <w:t>O (Resultados / Outcomes)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 xml:space="preserve">Eficiencia computacional (latencia por registro, </w:t>
            </w:r>
            <w:r>
              <w:rPr>
                <w:i/>
                <w:sz w:val="19"/>
              </w:rPr>
              <w:t>throughput</w:t>
            </w:r>
            <w:r>
              <w:rPr>
                <w:sz w:val="19"/>
              </w:rPr>
              <w:t xml:space="preserve"> en órdenes por segundo), costo total de propiedad (TCO) y costo marginal por millón de órdenes adjudicadas, precisión clínica (F1-score en NER) y trazabilidad granular auditable.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Clasificación binaria (</w:t>
            </w:r>
            <w:r>
              <w:rPr>
                <w:b/>
                <w:sz w:val="19"/>
              </w:rPr>
              <w:t>Cubre / No cubre</w:t>
            </w:r>
            <w:r>
              <w:rPr>
                <w:sz w:val="19"/>
              </w:rPr>
              <w:t>), liquidación escalonada (</w:t>
            </w:r>
            <w:r>
              <w:rPr>
                <w:b/>
                <w:sz w:val="19"/>
              </w:rPr>
              <w:t>100\,%, 50\,% o 25\,%</w:t>
            </w:r>
            <w:r>
              <w:rPr>
                <w:sz w:val="19"/>
              </w:rPr>
              <w:t xml:space="preserve">),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reducción de costos operativos ≥ 70\,%</w:t>
            </w:r>
            <w:r>
              <w:rPr>
                <w:sz w:val="19"/>
              </w:rPr>
              <w:t xml:space="preserve"> [12].</w:t>
            </w:r>
          </w:p>
        </w:tc>
      </w:tr>
    </w:tbl>
    <w:p/>
    <w:p>
      <w:pPr>
        <w:pStyle w:val="Heading3"/>
      </w:pPr>
      <w:r>
        <w:rPr>
          <w:color w:val="2E75B6"/>
        </w:rPr>
        <w:t>3.2. Fuentes de Información y Ecuaciones de Búsqueda Booleana</w:t>
      </w:r>
    </w:p>
    <w:p>
      <w:pPr>
        <w:jc w:val="both"/>
      </w:pPr>
      <w:r>
        <w:t>La recolección de evidencia abarcó el periodo comprendido entre enero de 2020 y octubre de 2026, consultando cinco bases de datos académicas indexadas (</w:t>
      </w:r>
      <w:r>
        <w:rPr>
          <w:b/>
        </w:rPr>
        <w:t>IEEE Xplore, Scopus, ACM Digital Library, PubMed/MEDLINE y ScienceDirect/Elsevier</w:t>
      </w:r>
      <w:r>
        <w:t>), además de repositorios de preimpresiones computacionales (</w:t>
      </w:r>
      <w:r>
        <w:rPr>
          <w:b/>
        </w:rPr>
        <w:t>arXiv</w:t>
      </w:r>
      <w:r>
        <w:t>), documentación arquitectónica oficial (</w:t>
      </w:r>
      <w:r>
        <w:rPr>
          <w:b/>
        </w:rPr>
        <w:t>AWS Architecture Center</w:t>
      </w:r>
      <w:r>
        <w:t xml:space="preserve"> y guías prescriptivas de AWS) y portales de contratación y transparencia gubernamental (</w:t>
      </w:r>
      <w:r>
        <w:rPr>
          <w:b/>
        </w:rPr>
        <w:t>SAM.gov, CMS.gov, NHS Digital/NHSBSA y ADRES</w:t>
      </w:r>
      <w:r>
        <w:t>) [2].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Base de Datos / Repositorio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Cadena de Búsqueda Booleana Ejecutada</w:t>
            </w:r>
          </w:p>
        </w:tc>
        <w:tc>
          <w:tcPr>
            <w:tcW w:type="dxa" w:w="312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Enfoque de Recuperación</w:t>
            </w:r>
          </w:p>
        </w:tc>
      </w:tr>
      <w:tr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IEEE Xplore &amp; ACM Digital Library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("medical claims" OR "healthcare claims") AND ("adjudication" OR "audit" OR "fraud detection") AND ("Apache Spark" OR "distributed" OR "EMR" OR "serverless" OR "rules engine") AND PUBYEAR &gt; 2019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Arquitecturas distribuidas de procesamiento de reclamaciones, motores de reglas en clúster y benchmarks de latencia/caudal [30].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b/>
                <w:sz w:val="19"/>
              </w:rPr>
              <w:t>PubMed / MEDLINE &amp; PMC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("claims adjudication" OR "prescription processing" OR "electronic health records") AND ("Spark NLP" OR "BioBERT" OR "ClinicalBERT" OR "natural language processing") AND ("scalable" OR "distributed" OR "benchmark")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Extracción de entidades clínicas (NER), detección de aserciones (</w:t>
            </w:r>
            <w:r>
              <w:rPr>
                <w:i/>
                <w:sz w:val="19"/>
              </w:rPr>
              <w:t>Assertion Status</w:t>
            </w:r>
            <w:r>
              <w:rPr>
                <w:sz w:val="19"/>
              </w:rPr>
              <w:t>) y validación sobre corpus médicos reales [8].</w:t>
            </w:r>
          </w:p>
        </w:tc>
      </w:tr>
      <w:tr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ScienceDirect (Elsevier) &amp; Scopus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TITLE-ABS-KEY(("healthcare claims" OR "clinical text") AND ("Apache Spark" OR "Spark NLP" OR "Apache Iceberg" OR "Delta Lake") AND ("traceability" OR "audit" OR "throughput" OR "cost"))</w:t>
            </w:r>
          </w:p>
        </w:tc>
        <w:tc>
          <w:tcPr>
            <w:tcW w:type="dxa" w:w="312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Publicaciones de software de impacto (</w:t>
            </w:r>
            <w:r>
              <w:rPr>
                <w:i/>
                <w:sz w:val="19"/>
              </w:rPr>
              <w:t>Software Impacts</w:t>
            </w:r>
            <w:r>
              <w:rPr>
                <w:sz w:val="19"/>
              </w:rPr>
              <w:t xml:space="preserve">), arquitecturas </w:t>
            </w:r>
            <w:r>
              <w:rPr>
                <w:i/>
                <w:sz w:val="19"/>
              </w:rPr>
              <w:t>Lakehouse</w:t>
            </w:r>
            <w:r>
              <w:rPr>
                <w:sz w:val="19"/>
              </w:rPr>
              <w:t xml:space="preserve"> abiertas y gobernanza de datos en salud [26].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b/>
                <w:sz w:val="19"/>
              </w:rPr>
              <w:t>AWS Architecture Center &amp; Literatura Gris Gubernamental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onsolas" w:hAnsi="Consolas"/>
                <w:sz w:val="19"/>
              </w:rPr>
              <w:t>("claims adjudication" OR "cuentas medicas" OR "Medicare Claims Processing") AND ("AWS" OR "EMR" OR "Glue" OR "Lambda" OR "Step Functions" OR "COBOL" OR "FISS" OR "ADRES" OR "NHSBSA")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sz w:val="19"/>
              </w:rPr>
              <w:t>Patrones nativos de nube, comparativas de costos DPU vs. EC2 Spot y licitaciones federales (ClaimsCore, SIA ADRES) [2].</w:t>
            </w:r>
          </w:p>
        </w:tc>
      </w:tr>
    </w:tbl>
    <w:p/>
    <w:p>
      <w:pPr>
        <w:pStyle w:val="Heading3"/>
      </w:pPr>
      <w:r>
        <w:rPr>
          <w:color w:val="2E75B6"/>
        </w:rPr>
        <w:t>3.3. Criterios de Elegibilidad y Flujo de Selección PRISMA 2020 Cuantificado</w:t>
      </w:r>
    </w:p>
    <w:p>
      <w:pPr>
        <w:jc w:val="both"/>
      </w:pPr>
      <w:r>
        <w:t xml:space="preserve">Se aplicaron criterios rigurosos de inclusión que exigieron que las fuentes fuesen estudios científicos revisados por pares, reportes gubernamentales auditables o </w:t>
      </w:r>
      <w:r>
        <w:rPr>
          <w:i/>
        </w:rPr>
        <w:t>whitepapers</w:t>
      </w:r>
      <w:r>
        <w:t xml:space="preserve"> de ingeniería publicados entre 2020 y 2026, con presencia explícita de arquitecturas de procesamiento masivo de datos, extracción de texto clínico o motores de adjudicación financiera en salud, y con el reporte verificable de métricas cuantitativas de rendimiento (latencia, </w:t>
      </w:r>
      <w:r>
        <w:rPr>
          <w:i/>
        </w:rPr>
        <w:t>throughput</w:t>
      </w:r>
      <w:r>
        <w:t xml:space="preserve"> en órdenes por segundo, F1-score, precisión) o parámetros financieros directos (costo por hora de cómputo, por millón de transiciones o por caracteres procesados) [11]. En contrapartida, se excluyeron investigaciones restringidas al diagnóstico clínico asistido por imagenología médica desvinculadas de infraestructuras de Big Data, propuestas teóricas de </w:t>
      </w:r>
      <w:r>
        <w:rPr>
          <w:i/>
        </w:rPr>
        <w:t>blockchain</w:t>
      </w:r>
      <w:r>
        <w:t xml:space="preserve"> sin validación de escalabilidad fuera de redes de prueba locales, y estudios cualitativos o arquitecturas </w:t>
      </w:r>
      <w:r>
        <w:rPr>
          <w:i/>
        </w:rPr>
        <w:t>on-premise</w:t>
      </w:r>
      <w:r>
        <w:t xml:space="preserve"> obsoletas previas a 2020 [1].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Fase del Protocolo PRISMA 2020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Etapa del Proceso de Revisión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Volumen de Registros (n)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Detalle Metodológico y Causas de Exclusión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1. Identificación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Registros identificados en bases de datos académicas indexadas (IEEE, ACM, PubMed, Scopus, ScienceDirect)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 = 248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Búsqueda sistemática mediante ecuaciones booleanas entre enero de 2020 y octubre de 2026 [8].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1. Identificación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Registros identificados en literatura técnica y gubernamental (AWS, CMS, ADRES, NHSBSA, Fonasa, DATASUS)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n = 36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Documentación de arquitectura de nube, pliegos de contratación y memorias institucionales (</w:t>
            </w:r>
            <w:r>
              <w:rPr>
                <w:b/>
                <w:sz w:val="19"/>
              </w:rPr>
              <w:t>Total identificados: N = 284</w:t>
            </w:r>
            <w:r>
              <w:rPr>
                <w:sz w:val="19"/>
              </w:rPr>
              <w:t>) [2].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1. Identificación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Registros duplicados eliminados antes del cribado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 = 42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Consolidación de preimpresiones de arXiv con sus versiones finales publicadas en revistas indexadas (284 - 42 = 242) [37].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2. Cribado (Screening)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Registros cribados por título y resumen (</w:t>
            </w:r>
            <w:r>
              <w:rPr>
                <w:i/>
                <w:sz w:val="19"/>
              </w:rPr>
              <w:t>Abstract</w:t>
            </w:r>
            <w:r>
              <w:rPr>
                <w:sz w:val="19"/>
              </w:rPr>
              <w:t>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n = 242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Evaluación de pertinencia temática frente a las preguntas de investigación del marco PICO.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2. Cribado (Screening)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Registros excluidos en fase de cribado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 = 168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104</w:t>
            </w:r>
            <w:r>
              <w:rPr>
                <w:sz w:val="19"/>
              </w:rPr>
              <w:t xml:space="preserve"> excluidos por enfoque clínico aislado en imágenes médicas (radiología/patología) y </w:t>
            </w:r>
            <w:r>
              <w:rPr>
                <w:b/>
                <w:sz w:val="19"/>
              </w:rPr>
              <w:t>64</w:t>
            </w:r>
            <w:r>
              <w:rPr>
                <w:sz w:val="19"/>
              </w:rPr>
              <w:t xml:space="preserve"> por ser estudios cualitativos de políticas sin componente de Big Data (242 - 168 = 74) [30].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3. Elegibilidad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Informes evaluados a texto completo para elegibilidad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n = 74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Análisis exhaustivo de arquitectura distribuida, NLP clínico y métricas de costo/rendimiento.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3. Elegibilidad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Informes excluidos a texto completo con razones justificadas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 = 56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28</w:t>
            </w:r>
            <w:r>
              <w:rPr>
                <w:sz w:val="19"/>
              </w:rPr>
              <w:t xml:space="preserve"> por carecer de métricas cuantitativas de </w:t>
            </w:r>
            <w:r>
              <w:rPr>
                <w:i/>
                <w:sz w:val="19"/>
              </w:rPr>
              <w:t>throughput</w:t>
            </w:r>
            <w:r>
              <w:rPr>
                <w:sz w:val="19"/>
              </w:rPr>
              <w:t xml:space="preserve">/latencia; </w:t>
            </w:r>
            <w:r>
              <w:rPr>
                <w:b/>
                <w:sz w:val="19"/>
              </w:rPr>
              <w:t>16</w:t>
            </w:r>
            <w:r>
              <w:rPr>
                <w:sz w:val="19"/>
              </w:rPr>
              <w:t xml:space="preserve"> por ser pruebas teóricas no escalables en redes </w:t>
            </w:r>
            <w:r>
              <w:rPr>
                <w:i/>
                <w:sz w:val="19"/>
              </w:rPr>
              <w:t>blockchain</w:t>
            </w:r>
            <w:r>
              <w:rPr>
                <w:sz w:val="19"/>
              </w:rPr>
              <w:t xml:space="preserve"> locales [1]; y </w:t>
            </w:r>
            <w:r>
              <w:rPr>
                <w:b/>
                <w:sz w:val="19"/>
              </w:rPr>
              <w:t>12</w:t>
            </w:r>
            <w:r>
              <w:rPr>
                <w:sz w:val="19"/>
              </w:rPr>
              <w:t xml:space="preserve"> por evaluar tecnologías </w:t>
            </w:r>
            <w:r>
              <w:rPr>
                <w:i/>
                <w:sz w:val="19"/>
              </w:rPr>
              <w:t>on-premise</w:t>
            </w:r>
            <w:r>
              <w:rPr>
                <w:sz w:val="19"/>
              </w:rPr>
              <w:t xml:space="preserve"> obsoletas previas a 2020 (74 - 56 = 18).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4. Inclusión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Estudios clave incluidos en la síntesis cualitativa y cuantitativa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n = 18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 xml:space="preserve">Corpus definitivo de </w:t>
            </w:r>
            <w:r>
              <w:rPr>
                <w:b/>
                <w:sz w:val="19"/>
              </w:rPr>
              <w:t>18 estudios clave</w:t>
            </w:r>
            <w:r>
              <w:rPr>
                <w:sz w:val="19"/>
              </w:rPr>
              <w:t xml:space="preserve"> que sustentan la taxonomía, la matriz del estado del arte y el modelo arquitectónico [2].</w:t>
            </w:r>
          </w:p>
        </w:tc>
      </w:tr>
    </w:tbl>
    <w:p/>
    <w:p>
      <w:pPr>
        <w:pStyle w:val="Heading3"/>
      </w:pPr>
      <w:r>
        <w:rPr>
          <w:color w:val="2E75B6"/>
        </w:rPr>
        <w:t>3.4. Taxonomía de las Cuatro Familias Tecnológicas</w:t>
      </w:r>
    </w:p>
    <w:p>
      <w:pPr>
        <w:jc w:val="both"/>
      </w:pPr>
      <w:r>
        <w:t>El análisis de los 18 estudios clave seleccionados permite clasificar las infraestructuras tecnológicas de auditoría y liquidación de cuentas médicas en cuatro familias arquitectónicas claramente diferenciadas:</w:t>
      </w:r>
    </w:p>
    <w:p>
      <w:pPr>
        <w:pStyle w:val="Heading4"/>
      </w:pPr>
      <w:r>
        <w:rPr>
          <w:color w:val="2E75B6"/>
        </w:rPr>
        <w:t>A. Sistemas Tradicionales y Heredados en Servidor Local (</w:t>
      </w:r>
      <w:r>
        <w:rPr>
          <w:i/>
          <w:color w:val="2E75B6"/>
        </w:rPr>
        <w:t>Legacy On-Premise</w:t>
      </w:r>
      <w:r>
        <w:rPr>
          <w:color w:val="2E75B6"/>
        </w:rPr>
        <w:t>)</w:t>
      </w:r>
    </w:p>
    <w:p>
      <w:pPr>
        <w:jc w:val="both"/>
      </w:pPr>
      <w:r>
        <w:t xml:space="preserve">Comprende los sistemas transaccionales monolíticos ejecutados sobre </w:t>
      </w:r>
      <w:r>
        <w:rPr>
          <w:i/>
        </w:rPr>
        <w:t>mainframes</w:t>
      </w:r>
      <w:r>
        <w:t xml:space="preserve"> o servidores locales propios de la primera generación de informatización estatal. El caso paradigmático a escala mundial es la infraestructura </w:t>
      </w:r>
      <w:r>
        <w:rPr>
          <w:i/>
        </w:rPr>
        <w:t>Fee-For-Service</w:t>
      </w:r>
      <w:r>
        <w:t xml:space="preserve"> de </w:t>
      </w:r>
      <w:r>
        <w:rPr>
          <w:b/>
        </w:rPr>
        <w:t>CMS/Medicare</w:t>
      </w:r>
      <w:r>
        <w:t xml:space="preserve"> en los Estados Unidos, la cual procesa más de </w:t>
      </w:r>
      <w:r>
        <w:rPr>
          <w:b/>
        </w:rPr>
        <w:t>1.000 millones</w:t>
      </w:r>
      <w:r>
        <w:t xml:space="preserve"> de reclamaciones anuales apoyándose en motores diseñados en la década de 1970 en lenguaje </w:t>
      </w:r>
      <w:r>
        <w:rPr>
          <w:b/>
        </w:rPr>
        <w:t>COBOL y COBOL II</w:t>
      </w:r>
      <w:r>
        <w:t xml:space="preserve"> sobre sistemas operativos IBM z/OS [2]. Esta arquitectura se divide en tres sistemas compartidos mantenidos por contratistas administrativos (MACs): el </w:t>
      </w:r>
      <w:r>
        <w:rPr>
          <w:i/>
        </w:rPr>
        <w:t>Fiscal Intermediary Shared System</w:t>
      </w:r>
      <w:r>
        <w:t xml:space="preserve"> (</w:t>
      </w:r>
      <w:r>
        <w:rPr>
          <w:b/>
        </w:rPr>
        <w:t>FISS</w:t>
      </w:r>
      <w:r>
        <w:t xml:space="preserve">) para reclamaciones hospitalarias de la Parte A y ambulatorias de la Parte B; el </w:t>
      </w:r>
      <w:r>
        <w:rPr>
          <w:i/>
        </w:rPr>
        <w:t>Multi-Carrier System</w:t>
      </w:r>
      <w:r>
        <w:t xml:space="preserve"> (</w:t>
      </w:r>
      <w:r>
        <w:rPr>
          <w:b/>
        </w:rPr>
        <w:t>MCS</w:t>
      </w:r>
      <w:r>
        <w:t xml:space="preserve">, que procesa casi </w:t>
      </w:r>
      <w:r>
        <w:rPr>
          <w:b/>
        </w:rPr>
        <w:t>300 millones</w:t>
      </w:r>
      <w:r>
        <w:t xml:space="preserve"> de reclamaciones anuales) para servicios profesionales; y el </w:t>
      </w:r>
      <w:r>
        <w:rPr>
          <w:i/>
        </w:rPr>
        <w:t>ViPS Medicare System</w:t>
      </w:r>
      <w:r>
        <w:t xml:space="preserve"> (</w:t>
      </w:r>
      <w:r>
        <w:rPr>
          <w:b/>
        </w:rPr>
        <w:t>VMS</w:t>
      </w:r>
      <w:r>
        <w:t xml:space="preserve">) para equipos médicos duraderos [3]. En su núcleo opera el </w:t>
      </w:r>
      <w:r>
        <w:rPr>
          <w:i/>
        </w:rPr>
        <w:t>Common Working File</w:t>
      </w:r>
      <w:r>
        <w:t xml:space="preserve"> (</w:t>
      </w:r>
      <w:r>
        <w:rPr>
          <w:b/>
        </w:rPr>
        <w:t>CWF</w:t>
      </w:r>
      <w:r>
        <w:t xml:space="preserve">), compuesto por 2,4 millones de líneas de código basadas en CICS en línea y programas COBOL por lotes con archivos indexados VSAM, devolviendo respuestas en ventanas de hasta </w:t>
      </w:r>
      <w:r>
        <w:rPr>
          <w:b/>
        </w:rPr>
        <w:t>48 horas</w:t>
      </w:r>
      <w:r>
        <w:t xml:space="preserve"> [3], [28].</w:t>
      </w:r>
    </w:p>
    <w:p>
      <w:pPr>
        <w:jc w:val="both"/>
      </w:pPr>
      <w:r>
        <w:t xml:space="preserve">En América Latina, sistemas históricos como los del </w:t>
      </w:r>
      <w:r>
        <w:rPr>
          <w:b/>
        </w:rPr>
        <w:t>DATASUS</w:t>
      </w:r>
      <w:r>
        <w:t xml:space="preserve"> en Brasil (SIH/SUS y SIA/SUS) y las plataformas tradicionales previas a la modernización en </w:t>
      </w:r>
      <w:r>
        <w:rPr>
          <w:b/>
        </w:rPr>
        <w:t>Fonasa</w:t>
      </w:r>
      <w:r>
        <w:t xml:space="preserve"> (Chile) y la </w:t>
      </w:r>
      <w:r>
        <w:rPr>
          <w:b/>
        </w:rPr>
        <w:t>ADRES</w:t>
      </w:r>
      <w:r>
        <w:t xml:space="preserve"> (Colombia) dependieron durante décadas de validaciones tabulares rígidas o procesos manuales [4]. Aunque los </w:t>
      </w:r>
      <w:r>
        <w:rPr>
          <w:i/>
        </w:rPr>
        <w:t>mainframes</w:t>
      </w:r>
      <w:r>
        <w:t xml:space="preserve"> COBOL demuestran fiabilidad aritmética para aplicar tarifas estáticas, adolecen de tres limitaciones insuperables [3]:</w:t>
      </w:r>
    </w:p>
    <w:p>
      <w:pPr>
        <w:pStyle w:val="ListNumber"/>
      </w:pPr>
      <w:r>
        <w:t>Incapacidad nativa para ejecutar modelos de aprendizaje profundo o NLP sobre glosas clínicas, obligando a usar costosos equipos humanos o a omitir la auditoría semántica [44].</w:t>
      </w:r>
    </w:p>
    <w:p>
      <w:pPr>
        <w:pStyle w:val="ListNumber"/>
      </w:pPr>
      <w:r>
        <w:t>Rigidez extrema ante cambios normativos: los intentos previos de CMS por migrar sus módulos de tarificación (</w:t>
      </w:r>
      <w:r>
        <w:rPr>
          <w:i/>
        </w:rPr>
        <w:t>pricers</w:t>
      </w:r>
      <w:r>
        <w:t>) convirtieron apenas cinco aplicaciones en varios años sin poder reemplazar el núcleo COBOL [3].</w:t>
      </w:r>
    </w:p>
    <w:p>
      <w:pPr>
        <w:pStyle w:val="ListNumber"/>
      </w:pPr>
      <w:r>
        <w:t xml:space="preserve">Costos exponenciales de escalamiento vertical (MIPS), lo que obligó a CMS a licitar el programa de reemplazo en la nube </w:t>
      </w:r>
      <w:r>
        <w:rPr>
          <w:b/>
        </w:rPr>
        <w:t>ClaimsCore</w:t>
      </w:r>
      <w:r>
        <w:t xml:space="preserve"> por cerca de </w:t>
      </w:r>
      <w:r>
        <w:rPr>
          <w:b/>
        </w:rPr>
        <w:t>$2.000 millones de dólares</w:t>
      </w:r>
      <w:r>
        <w:t xml:space="preserve"> [2].</w:t>
      </w:r>
    </w:p>
    <w:p>
      <w:pPr>
        <w:pStyle w:val="Heading4"/>
      </w:pPr>
      <w:r>
        <w:rPr>
          <w:color w:val="2E75B6"/>
        </w:rPr>
        <w:t>B. Clearinghouses y Motores Comerciales Propietarios (</w:t>
      </w:r>
      <w:r>
        <w:rPr>
          <w:i/>
          <w:color w:val="2E75B6"/>
        </w:rPr>
        <w:t>COTS</w:t>
      </w:r>
      <w:r>
        <w:rPr>
          <w:color w:val="2E75B6"/>
        </w:rPr>
        <w:t>)</w:t>
      </w:r>
    </w:p>
    <w:p>
      <w:pPr>
        <w:jc w:val="both"/>
      </w:pPr>
      <w:r>
        <w:t xml:space="preserve">Abarca las plataformas empresariales empaquetadas y las cámaras de compensación privadas, lideradas por </w:t>
      </w:r>
      <w:r>
        <w:rPr>
          <w:b/>
        </w:rPr>
        <w:t>Cognizant TriZetto</w:t>
      </w:r>
      <w:r>
        <w:t xml:space="preserve"> (plataformas </w:t>
      </w:r>
      <w:r>
        <w:rPr>
          <w:b/>
        </w:rPr>
        <w:t>Facets</w:t>
      </w:r>
      <w:r>
        <w:t xml:space="preserve"> y </w:t>
      </w:r>
      <w:r>
        <w:rPr>
          <w:b/>
        </w:rPr>
        <w:t>QNXT</w:t>
      </w:r>
      <w:r>
        <w:t xml:space="preserve">) y </w:t>
      </w:r>
      <w:r>
        <w:rPr>
          <w:b/>
        </w:rPr>
        <w:t>Optum / Change Healthcare</w:t>
      </w:r>
      <w:r>
        <w:t xml:space="preserve"> (</w:t>
      </w:r>
      <w:r>
        <w:rPr>
          <w:i/>
        </w:rPr>
        <w:t>Optum Claims Editing System</w:t>
      </w:r>
      <w:r>
        <w:t xml:space="preserve"> - </w:t>
      </w:r>
      <w:r>
        <w:rPr>
          <w:b/>
        </w:rPr>
        <w:t>CES</w:t>
      </w:r>
      <w:r>
        <w:t>) [20]. Concebidos para aseguradoras privadas (HMO, PPO), ofrecen módulos preconfigurados para elegibilidad, redes de prestadores y validación tabular de códigos ICD-10 y CPT [20].</w:t>
      </w:r>
    </w:p>
    <w:p>
      <w:pPr>
        <w:jc w:val="both"/>
      </w:pPr>
      <w:r>
        <w:t xml:space="preserve">Sin embargo, frente a </w:t>
      </w:r>
      <w:r>
        <w:rPr>
          <w:b/>
        </w:rPr>
        <w:t>12 millones de órdenes diarias</w:t>
      </w:r>
      <w:r>
        <w:t xml:space="preserve"> con texto libre, presentan severas restricciones operativas y económicas:</w:t>
      </w:r>
    </w:p>
    <w:p>
      <w:pPr>
        <w:pStyle w:val="ListBullet"/>
      </w:pPr>
      <w:r>
        <w:t>Plataformas como TriZetto Facets se cimentaron sobre arquitecturas cliente-servidor acopladas a bases de datos relacionales transaccionales (como Sybase con servidores de replicación dedicados), donde los lotes nocturnos dependen críticamente de la estabilidad de la replicación monolítica [49], obligando a adquirir suites adicionales (</w:t>
      </w:r>
      <w:r>
        <w:rPr>
          <w:i/>
        </w:rPr>
        <w:t>Advanced Batch Framework</w:t>
      </w:r>
      <w:r>
        <w:t xml:space="preserve">, </w:t>
      </w:r>
      <w:r>
        <w:rPr>
          <w:i/>
        </w:rPr>
        <w:t>Claim Test Pro</w:t>
      </w:r>
      <w:r>
        <w:t>) para no desbordar las ventanas nocturnas [51].</w:t>
      </w:r>
    </w:p>
    <w:p>
      <w:pPr>
        <w:pStyle w:val="ListBullet"/>
      </w:pPr>
      <w:r>
        <w:t>Su modelo de licenciamiento se factura por miembro por mes (</w:t>
      </w:r>
      <w:r>
        <w:rPr>
          <w:b/>
        </w:rPr>
        <w:t>PMPM</w:t>
      </w:r>
      <w:r>
        <w:t>) o por transacción auditada, generando costos linealmente crecientes e insostenibles para el erario público [20].</w:t>
      </w:r>
    </w:p>
    <w:p>
      <w:pPr>
        <w:pStyle w:val="ListBullet"/>
      </w:pPr>
      <w:r>
        <w:t xml:space="preserve">Concentrar el flujo nacional en un </w:t>
      </w:r>
      <w:r>
        <w:rPr>
          <w:i/>
        </w:rPr>
        <w:t>clearinghouse</w:t>
      </w:r>
      <w:r>
        <w:t xml:space="preserve"> propietario introduce un riesgo sistémico de seguridad nacional: como demostraron los ataques de </w:t>
      </w:r>
      <w:r>
        <w:rPr>
          <w:i/>
        </w:rPr>
        <w:t>ransomware</w:t>
      </w:r>
      <w:r>
        <w:t xml:space="preserve"> contra Change Healthcare entre finales de 2023 y 2024, la caída de un único motor centralizado actúa como un punto único de fallo (</w:t>
      </w:r>
      <w:r>
        <w:rPr>
          <w:i/>
        </w:rPr>
        <w:t>Single Point of Failure</w:t>
      </w:r>
      <w:r>
        <w:t>) capaz de paralizar la liquidez hospitalaria de todo un país [21].</w:t>
      </w:r>
    </w:p>
    <w:p>
      <w:pPr>
        <w:pStyle w:val="Heading4"/>
      </w:pPr>
      <w:r>
        <w:rPr>
          <w:color w:val="2E75B6"/>
        </w:rPr>
        <w:t>C. Arquitecturas Serverless y Streaming Nativas en Nube</w:t>
      </w:r>
    </w:p>
    <w:p>
      <w:pPr>
        <w:jc w:val="both"/>
      </w:pPr>
      <w:r>
        <w:t>Corresponde a las arquitecturas sin servidor (</w:t>
      </w:r>
      <w:r>
        <w:rPr>
          <w:i/>
        </w:rPr>
        <w:t>Serverless</w:t>
      </w:r>
      <w:r>
        <w:t>) y de flujo continuo (</w:t>
      </w:r>
      <w:r>
        <w:rPr>
          <w:i/>
        </w:rPr>
        <w:t>Streaming</w:t>
      </w:r>
      <w:r>
        <w:t xml:space="preserve">), construidas con </w:t>
      </w:r>
      <w:r>
        <w:rPr>
          <w:b/>
        </w:rPr>
        <w:t>AWS Lambda, AWS Step Functions, Amazon Kinesis, Apache Kafka / Apache Flink</w:t>
      </w:r>
      <w:r>
        <w:t xml:space="preserve"> y APIs cognitivas como </w:t>
      </w:r>
      <w:r>
        <w:rPr>
          <w:b/>
        </w:rPr>
        <w:t>Amazon Comprehend Medical</w:t>
      </w:r>
      <w:r>
        <w:t xml:space="preserve"> [11]. Cuando se requiere prevención de fraude en el punto de venta en tiempo real —como la emisión instantánea de bonos electrónicos en Fonasa—, Apache Flink y Spark Streaming sobre Kafka evalúan reclamaciones individuales con una latencia promedio de </w:t>
      </w:r>
      <w:r>
        <w:rPr>
          <w:b/>
        </w:rPr>
        <w:t>&lt; 50 ms</w:t>
      </w:r>
      <w:r>
        <w:t xml:space="preserve">, alcanzando una precisión en detección de fraude del </w:t>
      </w:r>
      <w:r>
        <w:rPr>
          <w:b/>
        </w:rPr>
        <w:t>94,2\,%</w:t>
      </w:r>
      <w:r>
        <w:t xml:space="preserve"> (exactitud global del </w:t>
      </w:r>
      <w:r>
        <w:rPr>
          <w:b/>
        </w:rPr>
        <w:t>96,5\,%</w:t>
      </w:r>
      <w:r>
        <w:t xml:space="preserve">) y reduciendo la carga de revisión manual en un </w:t>
      </w:r>
      <w:r>
        <w:rPr>
          <w:b/>
        </w:rPr>
        <w:t>78\,%</w:t>
      </w:r>
      <w:r>
        <w:t xml:space="preserve"> [6], [33].</w:t>
      </w:r>
    </w:p>
    <w:p>
      <w:pPr>
        <w:jc w:val="both"/>
      </w:pPr>
      <w:r>
        <w:t xml:space="preserve">No obstante, para liquidar masivamente un lote de </w:t>
      </w:r>
      <w:r>
        <w:rPr>
          <w:b/>
        </w:rPr>
        <w:t>12 millones de órdenes médicas</w:t>
      </w:r>
      <w:r>
        <w:t xml:space="preserve"> en una ventana fija &lt; 24 horas, el modelo </w:t>
      </w:r>
      <w:r>
        <w:rPr>
          <w:i/>
        </w:rPr>
        <w:t>Serverless</w:t>
      </w:r>
      <w:r>
        <w:t xml:space="preserve"> puro sufre una inversión severa de eficiencia económica (</w:t>
      </w:r>
      <w:r>
        <w:rPr>
          <w:i/>
        </w:rPr>
        <w:t>serverless break-even point</w:t>
      </w:r>
      <w:r>
        <w:t>) [11]:</w:t>
      </w:r>
    </w:p>
    <w:p>
      <w:pPr>
        <w:pStyle w:val="ListBullet"/>
      </w:pPr>
      <w:r>
        <w:rPr>
          <w:b/>
        </w:rPr>
        <w:t>Límites de AWS Lambda:</w:t>
      </w:r>
      <w:r>
        <w:t xml:space="preserve"> Tiempo máximo de ejecución de 15 minutos, memoria máxima de 10 GB y naturaleza sin estado (</w:t>
      </w:r>
      <w:r>
        <w:rPr>
          <w:i/>
        </w:rPr>
        <w:t>stateless</w:t>
      </w:r>
      <w:r>
        <w:t>) que obliga a externalizar el contexto del paciente a bases de datos externas, multiplicando la E/S de red [11].</w:t>
      </w:r>
    </w:p>
    <w:p>
      <w:pPr>
        <w:pStyle w:val="ListBullet"/>
      </w:pPr>
      <w:r>
        <w:rPr>
          <w:b/>
        </w:rPr>
        <w:t>Sobrecosto y estrangulamiento en AWS Step Functions:</w:t>
      </w:r>
      <w:r>
        <w:t xml:space="preserve"> En </w:t>
      </w:r>
      <w:r>
        <w:rPr>
          <w:i/>
        </w:rPr>
        <w:t>Standard Workflows</w:t>
      </w:r>
      <w:r>
        <w:t xml:space="preserve">, la tarifa de </w:t>
      </w:r>
      <w:r>
        <w:rPr>
          <w:b/>
        </w:rPr>
        <w:t>$25,00 USD por cada millón de transiciones de estado</w:t>
      </w:r>
      <w:r>
        <w:t xml:space="preserve"> implica que un flujo de 10 pasos por orden (</w:t>
      </w:r>
      <w:r>
        <w:rPr>
          <w:b/>
        </w:rPr>
        <w:t>120 millones de transiciones diarias</w:t>
      </w:r>
      <w:r>
        <w:t xml:space="preserve">) cuesta </w:t>
      </w:r>
      <w:r>
        <w:rPr>
          <w:b/>
        </w:rPr>
        <w:t>$3.000 USD diarios</w:t>
      </w:r>
      <w:r>
        <w:t xml:space="preserve"> (</w:t>
      </w:r>
      <w:r>
        <w:rPr>
          <w:b/>
        </w:rPr>
        <w:t>$90.000 USD mensuales</w:t>
      </w:r>
      <w:r>
        <w:t>) únicamente por la orquestación, además de chocar contra límites de estrangulamiento (</w:t>
      </w:r>
      <w:r>
        <w:rPr>
          <w:i/>
        </w:rPr>
        <w:t>throttling</w:t>
      </w:r>
      <w:r>
        <w:t xml:space="preserve">) de 2.000 ejecuciones/s y 4.000 transiciones/s [29]. Migrar a </w:t>
      </w:r>
      <w:r>
        <w:rPr>
          <w:i/>
        </w:rPr>
        <w:t>Express Workflows</w:t>
      </w:r>
      <w:r>
        <w:t xml:space="preserve"> reduce el costo de orquestación entre un </w:t>
      </w:r>
      <w:r>
        <w:rPr>
          <w:b/>
        </w:rPr>
        <w:t>85\,% y un 90\,%</w:t>
      </w:r>
      <w:r>
        <w:t xml:space="preserve"> (cobrando </w:t>
      </w:r>
      <w:r>
        <w:rPr>
          <w:b/>
        </w:rPr>
        <w:t>$1,00 USD por millón de peticiones</w:t>
      </w:r>
      <w:r>
        <w:t xml:space="preserve"> más </w:t>
      </w:r>
      <w:r>
        <w:rPr>
          <w:b/>
        </w:rPr>
        <w:t>$0,00001667 USD/GB-s</w:t>
      </w:r>
      <w:r>
        <w:t xml:space="preserve">), pero impone un límite de 5 minutos, opera bajo semántica </w:t>
      </w:r>
      <w:r>
        <w:rPr>
          <w:i/>
        </w:rPr>
        <w:t>at-least-once</w:t>
      </w:r>
      <w:r>
        <w:t xml:space="preserve"> (exigiendo lógica compleja de idempotencia para evitar pagos duplicados) y obliga a volcar trazas en </w:t>
      </w:r>
      <w:r>
        <w:rPr>
          <w:b/>
        </w:rPr>
        <w:t>Amazon CloudWatch Logs</w:t>
      </w:r>
      <w:r>
        <w:t xml:space="preserve"> a un costo de </w:t>
      </w:r>
      <w:r>
        <w:rPr>
          <w:b/>
        </w:rPr>
        <w:t>$0,50 USD/GB ingerido</w:t>
      </w:r>
      <w:r>
        <w:t>, superando el costo del propio orquestador [29].</w:t>
      </w:r>
    </w:p>
    <w:p>
      <w:pPr>
        <w:pStyle w:val="ListBullet"/>
      </w:pPr>
      <w:r>
        <w:rPr>
          <w:b/>
        </w:rPr>
        <w:t>Inviabilidad de APIs Cognitivas por Caracteres:</w:t>
      </w:r>
      <w:r>
        <w:t xml:space="preserve"> Amazon Comprehend Medical factura en unidades de 100 caracteres, cobrando </w:t>
      </w:r>
      <w:r>
        <w:rPr>
          <w:b/>
        </w:rPr>
        <w:t>$0,01 USD por unidad</w:t>
      </w:r>
      <w:r>
        <w:t xml:space="preserve"> en </w:t>
      </w:r>
      <w:r>
        <w:rPr>
          <w:rFonts w:ascii="Consolas" w:hAnsi="Consolas"/>
          <w:sz w:val="19"/>
        </w:rPr>
        <w:t>DetectEntitiesV2</w:t>
      </w:r>
      <w:r>
        <w:t xml:space="preserve">, </w:t>
      </w:r>
      <w:r>
        <w:rPr>
          <w:b/>
        </w:rPr>
        <w:t>$0,0025 USD</w:t>
      </w:r>
      <w:r>
        <w:t xml:space="preserve"> en </w:t>
      </w:r>
      <w:r>
        <w:rPr>
          <w:rFonts w:ascii="Consolas" w:hAnsi="Consolas"/>
          <w:sz w:val="19"/>
        </w:rPr>
        <w:t>InferSNOMEDCT</w:t>
      </w:r>
      <w:r>
        <w:t xml:space="preserve">, </w:t>
      </w:r>
      <w:r>
        <w:rPr>
          <w:b/>
        </w:rPr>
        <w:t>$0,0014 USD</w:t>
      </w:r>
      <w:r>
        <w:t xml:space="preserve"> en </w:t>
      </w:r>
      <w:r>
        <w:rPr>
          <w:rFonts w:ascii="Consolas" w:hAnsi="Consolas"/>
          <w:sz w:val="19"/>
        </w:rPr>
        <w:t>DetectPHI</w:t>
      </w:r>
      <w:r>
        <w:t xml:space="preserve">, </w:t>
      </w:r>
      <w:r>
        <w:rPr>
          <w:b/>
        </w:rPr>
        <w:t>$0,0005 USD</w:t>
      </w:r>
      <w:r>
        <w:t xml:space="preserve"> en </w:t>
      </w:r>
      <w:r>
        <w:rPr>
          <w:rFonts w:ascii="Consolas" w:hAnsi="Consolas"/>
          <w:sz w:val="19"/>
        </w:rPr>
        <w:t>InferICD10CM</w:t>
      </w:r>
      <w:r>
        <w:t xml:space="preserve"> y </w:t>
      </w:r>
      <w:r>
        <w:rPr>
          <w:b/>
        </w:rPr>
        <w:t>$0,0005 USD</w:t>
      </w:r>
      <w:r>
        <w:t xml:space="preserve"> en </w:t>
      </w:r>
      <w:r>
        <w:rPr>
          <w:rFonts w:ascii="Consolas" w:hAnsi="Consolas"/>
          <w:sz w:val="19"/>
        </w:rPr>
        <w:t>InferRxNorm</w:t>
      </w:r>
      <w:r>
        <w:t xml:space="preserve"> [24]. Si cada una de las 12 millones de órdenes contiene una glosa promedio de 500 caracteres (5 unidades), invocar </w:t>
      </w:r>
      <w:r>
        <w:rPr>
          <w:rFonts w:ascii="Consolas" w:hAnsi="Consolas"/>
          <w:sz w:val="19"/>
        </w:rPr>
        <w:t>DetectEntitiesV2</w:t>
      </w:r>
      <w:r>
        <w:t xml:space="preserve"> e </w:t>
      </w:r>
      <w:r>
        <w:rPr>
          <w:rFonts w:ascii="Consolas" w:hAnsi="Consolas"/>
          <w:sz w:val="19"/>
        </w:rPr>
        <w:t>InferRxNorm</w:t>
      </w:r>
      <w:r>
        <w:t xml:space="preserve"> consume 60 millones de unidades diarias, generando una factura prohibitiva superior a </w:t>
      </w:r>
      <w:r>
        <w:rPr>
          <w:b/>
        </w:rPr>
        <w:t>$150.000 USD por día</w:t>
      </w:r>
      <w:r>
        <w:t xml:space="preserve"> [24], además de una limitación técnica excluyente: </w:t>
      </w:r>
      <w:r>
        <w:rPr>
          <w:b/>
        </w:rPr>
        <w:t>solo procesa textos en inglés</w:t>
      </w:r>
      <w:r>
        <w:t>, siendo incapaz de analizar glosas en español o portugués de forma nativa [57].</w:t>
      </w:r>
    </w:p>
    <w:p>
      <w:pPr>
        <w:pStyle w:val="Heading4"/>
      </w:pPr>
      <w:r>
        <w:rPr>
          <w:color w:val="2E75B6"/>
        </w:rPr>
        <w:t>D. Arquitecturas Distribuidas Batch y Lakehouse (Apache Spark en AWS EMR / Glue + Iceberg)</w:t>
      </w:r>
    </w:p>
    <w:p>
      <w:pPr>
        <w:jc w:val="both"/>
      </w:pPr>
      <w:r>
        <w:t xml:space="preserve">Constituida por motores de procesamiento distribuido en memoria basados en </w:t>
      </w:r>
      <w:r>
        <w:rPr>
          <w:b/>
        </w:rPr>
        <w:t>Apache Spark</w:t>
      </w:r>
      <w:r>
        <w:t xml:space="preserve">, desplegados sobre </w:t>
      </w:r>
      <w:r>
        <w:rPr>
          <w:b/>
        </w:rPr>
        <w:t>Amazon EMR</w:t>
      </w:r>
      <w:r>
        <w:t xml:space="preserve"> (en clústeres EC2 efímeros con procesadores ARM Graviton2) o </w:t>
      </w:r>
      <w:r>
        <w:rPr>
          <w:b/>
        </w:rPr>
        <w:t>AWS Glue</w:t>
      </w:r>
      <w:r>
        <w:t xml:space="preserve">, y acoplados a arquitecturas </w:t>
      </w:r>
      <w:r>
        <w:rPr>
          <w:i/>
        </w:rPr>
        <w:t>Data Lakehouse</w:t>
      </w:r>
      <w:r>
        <w:t xml:space="preserve"> sobre </w:t>
      </w:r>
      <w:r>
        <w:rPr>
          <w:b/>
        </w:rPr>
        <w:t>Amazon S3</w:t>
      </w:r>
      <w:r>
        <w:t xml:space="preserve"> utilizando formatos de tabla abiertos como </w:t>
      </w:r>
      <w:r>
        <w:rPr>
          <w:b/>
        </w:rPr>
        <w:t>Apache Iceberg</w:t>
      </w:r>
      <w:r>
        <w:t xml:space="preserve"> o </w:t>
      </w:r>
      <w:r>
        <w:rPr>
          <w:b/>
        </w:rPr>
        <w:t>Delta Lake</w:t>
      </w:r>
      <w:r>
        <w:t xml:space="preserve"> [11]. Este paradigma agrupa los eventos en lotes acotados en el tiempo (</w:t>
      </w:r>
      <w:r>
        <w:rPr>
          <w:i/>
        </w:rPr>
        <w:t>time-bounded batches</w:t>
      </w:r>
      <w:r>
        <w:t>) y distribuye los datos particionados en nodos trabajadores que mantienen en memoria caché los diccionarios clínicos, los modelos cuantizados de NLP y el grafo de reglas de negocio [12].</w:t>
      </w:r>
    </w:p>
    <w:p>
      <w:pPr>
        <w:jc w:val="both"/>
      </w:pPr>
      <w:r>
        <w:t>La evidencia empírica demuestra que:</w:t>
      </w:r>
    </w:p>
    <w:p>
      <w:pPr>
        <w:pStyle w:val="ListBullet"/>
      </w:pPr>
      <w:r>
        <w:t xml:space="preserve">Migrar desde un flujo transaccional sin estado hacia procesamiento </w:t>
      </w:r>
      <w:r>
        <w:rPr>
          <w:i/>
        </w:rPr>
        <w:t>batch</w:t>
      </w:r>
      <w:r>
        <w:t xml:space="preserve"> con estado sobre Amazon EMR Logra una </w:t>
      </w:r>
      <w:r>
        <w:rPr>
          <w:b/>
        </w:rPr>
        <w:t>reducción de costos operativos ≥ 70\,%</w:t>
      </w:r>
      <w:r>
        <w:t xml:space="preserve"> (alcanzando entre un </w:t>
      </w:r>
      <w:r>
        <w:rPr>
          <w:b/>
        </w:rPr>
        <w:t>75\,% y un 80\,%</w:t>
      </w:r>
      <w:r>
        <w:t xml:space="preserve"> en casos documentados por AWS) [12].</w:t>
      </w:r>
    </w:p>
    <w:p>
      <w:pPr>
        <w:pStyle w:val="ListBullet"/>
      </w:pPr>
      <w:r>
        <w:t>Aunque el aprovisionamiento inicial (</w:t>
      </w:r>
      <w:r>
        <w:rPr>
          <w:i/>
        </w:rPr>
        <w:t>bootstrap</w:t>
      </w:r>
      <w:r>
        <w:t xml:space="preserve">) de un clúster EMR toma </w:t>
      </w:r>
      <w:r>
        <w:rPr>
          <w:b/>
        </w:rPr>
        <w:t>~ 10 minutos</w:t>
      </w:r>
      <w:r>
        <w:t xml:space="preserve">, esta latencia se paga una sola vez por ciclo diario, eludiendo los límites de Lambda [11]. Frente a AWS Glue (que cobra </w:t>
      </w:r>
      <w:r>
        <w:rPr>
          <w:b/>
        </w:rPr>
        <w:t>$0,44 USD/DPU-hora</w:t>
      </w:r>
      <w:r>
        <w:t xml:space="preserve">), Amazon EMR con instancias EC2 Graviton2 en modalidad </w:t>
      </w:r>
      <w:r>
        <w:rPr>
          <w:i/>
        </w:rPr>
        <w:t>Spot</w:t>
      </w:r>
      <w:r>
        <w:t xml:space="preserve"> resulta entre 2 y 4 veces más económico y permite control absoluto sobre la JVM y Spark [11].</w:t>
      </w:r>
    </w:p>
    <w:p>
      <w:pPr>
        <w:pStyle w:val="ListBullet"/>
      </w:pPr>
      <w:r>
        <w:rPr>
          <w:b/>
        </w:rPr>
        <w:t>Extracción clínica *in-process*:</w:t>
      </w:r>
      <w:r>
        <w:t xml:space="preserve"> </w:t>
      </w:r>
      <w:r>
        <w:rPr>
          <w:b/>
        </w:rPr>
        <w:t>Spark NLP</w:t>
      </w:r>
      <w:r>
        <w:t xml:space="preserve"> se ejecuta de forma nativa dentro de los ejecutores de Spark sin costo por carácter, procesando miles de registros por segundo con retardos medios de </w:t>
      </w:r>
      <w:r>
        <w:rPr>
          <w:b/>
        </w:rPr>
        <w:t>3,5 ms a 4,2 ms</w:t>
      </w:r>
      <w:r>
        <w:t xml:space="preserve"> (superando los </w:t>
      </w:r>
      <w:r>
        <w:rPr>
          <w:b/>
        </w:rPr>
        <w:t>10.000 documentos/s</w:t>
      </w:r>
      <w:r>
        <w:t xml:space="preserve"> en despliegues industriales como IQVIA) y alcanzando un </w:t>
      </w:r>
      <w:r>
        <w:rPr>
          <w:b/>
        </w:rPr>
        <w:t>F1-score ≥ 0,92</w:t>
      </w:r>
      <w:r>
        <w:t xml:space="preserve"> [22], [25].</w:t>
      </w:r>
    </w:p>
    <w:p>
      <w:pPr>
        <w:pStyle w:val="ListBullet"/>
      </w:pPr>
      <w:r>
        <w:rPr>
          <w:b/>
        </w:rPr>
        <w:t>Evaluación distribuida de reglas:</w:t>
      </w:r>
      <w:r>
        <w:t xml:space="preserve"> Motores como </w:t>
      </w:r>
      <w:r>
        <w:rPr>
          <w:b/>
        </w:rPr>
        <w:t>SparkRules</w:t>
      </w:r>
      <w:r>
        <w:t xml:space="preserve"> y variantes distribuidas del algoritmo Rete/Phreak de </w:t>
      </w:r>
      <w:r>
        <w:rPr>
          <w:b/>
        </w:rPr>
        <w:t>Drools</w:t>
      </w:r>
      <w:r>
        <w:t xml:space="preserve"> evalúan tablas de decisión </w:t>
      </w:r>
      <w:r>
        <w:rPr>
          <w:b/>
        </w:rPr>
        <w:t>DMN 1.3</w:t>
      </w:r>
      <w:r>
        <w:t xml:space="preserve"> y reglas </w:t>
      </w:r>
      <w:r>
        <w:rPr>
          <w:b/>
        </w:rPr>
        <w:t>DRL</w:t>
      </w:r>
      <w:r>
        <w:t xml:space="preserve"> directamente sobre </w:t>
      </w:r>
      <w:r>
        <w:rPr>
          <w:i/>
        </w:rPr>
        <w:t>DataFrames</w:t>
      </w:r>
      <w:r>
        <w:t xml:space="preserve"> de Spark, emitiendo códigos de razón auditables (</w:t>
      </w:r>
      <w:r>
        <w:rPr>
          <w:i/>
        </w:rPr>
        <w:t>adverse action / reason codes</w:t>
      </w:r>
      <w:r>
        <w:t xml:space="preserve">) a velocidades de </w:t>
      </w:r>
      <w:r>
        <w:rPr>
          <w:b/>
        </w:rPr>
        <w:t>15.000 reglas/s</w:t>
      </w:r>
      <w:r>
        <w:t xml:space="preserve"> por motor con latencias </w:t>
      </w:r>
      <w:r>
        <w:rPr>
          <w:b/>
        </w:rPr>
        <w:t>&lt; 10 ms</w:t>
      </w:r>
      <w:r>
        <w:t xml:space="preserve"> [16], [33].</w:t>
      </w:r>
    </w:p>
    <w:p>
      <w:pPr>
        <w:pStyle w:val="ListBullet"/>
      </w:pPr>
      <w:r>
        <w:rPr>
          <w:b/>
        </w:rPr>
        <w:t>Persistencia ACID y *Time Travel*:</w:t>
      </w:r>
      <w:r>
        <w:t xml:space="preserve"> </w:t>
      </w:r>
      <w:r>
        <w:rPr>
          <w:b/>
        </w:rPr>
        <w:t>Apache Iceberg</w:t>
      </w:r>
      <w:r>
        <w:t xml:space="preserve"> sobre Amazon S3 proporciona transacciones ACID completas, aislamiento de instantáneas (</w:t>
      </w:r>
      <w:r>
        <w:rPr>
          <w:i/>
        </w:rPr>
        <w:t>snapshot isolation</w:t>
      </w:r>
      <w:r>
        <w:t>) y viaje en el tiempo, cumpliendo los estándares HIPAA, GDPR y SOX sin bloqueo de proveedor (</w:t>
      </w:r>
      <w:r>
        <w:rPr>
          <w:i/>
        </w:rPr>
        <w:t>vendor lock-in</w:t>
      </w:r>
      <w:r>
        <w:t>) [14], [26].</w:t>
      </w:r>
    </w:p>
    <w:p>
      <w:pPr>
        <w:pStyle w:val="Heading3"/>
      </w:pPr>
      <w:r>
        <w:rPr>
          <w:color w:val="2E75B6"/>
        </w:rPr>
        <w:t>3.5. Matriz Comparativa del Estado del Arte y Benchmarks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Autor / Solución y Referencia</w:t>
            </w:r>
          </w:p>
        </w:tc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Enfoque Arquitectónico y Tecnología Base</w:t>
            </w:r>
          </w:p>
        </w:tc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Volumen Procesado / Escala Validada</w:t>
            </w:r>
          </w:p>
        </w:tc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Tiempo de Procesamiento / Latencia / Caudal</w:t>
            </w:r>
          </w:p>
        </w:tc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Modelo de Costos y Eficiencia Operativa</w:t>
            </w:r>
          </w:p>
        </w:tc>
        <w:tc>
          <w:tcPr>
            <w:tcW w:type="dxa" w:w="156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Limitaciones Principales Identificadas</w:t>
            </w:r>
          </w:p>
        </w:tc>
      </w:tr>
      <w:tr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CMS Medicare Legacy — FISS, MCS, VMS &amp; CWF</w:t>
            </w:r>
            <w:r>
              <w:rPr>
                <w:sz w:val="19"/>
              </w:rPr>
              <w:t xml:space="preserve"> (CMS / SAM.gov, 2025–2026) [2], [3]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i/>
                <w:sz w:val="19"/>
              </w:rPr>
              <w:t>Legacy On-Premise Mainframe</w:t>
            </w:r>
            <w:r>
              <w:rPr>
                <w:sz w:val="19"/>
              </w:rPr>
              <w:t>: 2,4 millones de líneas en COBOL / COBOL II por lotes y CICS en línea sobre IBM z/OS con archivos VSAM [3].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&gt; 1.000 millones de reclamaciones anuales (MCS procesa casi 300 millones) [2].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Ventana de respuesta de hasta </w:t>
            </w:r>
            <w:r>
              <w:rPr>
                <w:b/>
                <w:sz w:val="19"/>
              </w:rPr>
              <w:t>48 horas</w:t>
            </w:r>
            <w:r>
              <w:rPr>
                <w:sz w:val="19"/>
              </w:rPr>
              <w:t xml:space="preserve"> en CWF; procesamiento nocturno por lotes [28].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Altísimo costo de mantenimiento; exige inversión de </w:t>
            </w:r>
            <w:r>
              <w:rPr>
                <w:b/>
                <w:sz w:val="19"/>
              </w:rPr>
              <w:t>$2.000 millones USD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ClaimsCore</w:t>
            </w:r>
            <w:r>
              <w:rPr>
                <w:sz w:val="19"/>
              </w:rPr>
              <w:t>) para migrar a la nube [2].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Incapacidad nativa para procesar texto libre; rigidez extrema ante cambios normativos; vulnerabilidad al fraude estimado en </w:t>
            </w:r>
            <w:r>
              <w:rPr>
                <w:b/>
                <w:sz w:val="19"/>
              </w:rPr>
              <w:t>10\,%</w:t>
            </w:r>
            <w:r>
              <w:rPr>
                <w:sz w:val="19"/>
              </w:rPr>
              <w:t xml:space="preserve"> del gasto [3].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ADRES Colombia — Sistema Inteligente de Auditoría (SIA)</w:t>
            </w:r>
            <w:r>
              <w:rPr>
                <w:sz w:val="19"/>
              </w:rPr>
              <w:t xml:space="preserve"> (ADRES / AWS, 2025–2026) [10], [15]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i/>
                <w:sz w:val="19"/>
              </w:rPr>
              <w:t>Cloud Native AI &amp; Rules Engine</w:t>
            </w:r>
            <w:r>
              <w:rPr>
                <w:sz w:val="19"/>
              </w:rPr>
              <w:t>: Plataforma en AWS con radicación digital, cruce de códigos CUPS/tarifas, 98 reglas deterministas y análisis semántico con IA [15].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Reclamaciones masivas por accidentes de tránsito (SOAT / vehículos fantasma) e IPS a nivel nacional [47].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 xml:space="preserve">Reducción del rezago histórico de auditoría a </w:t>
            </w:r>
            <w:r>
              <w:rPr>
                <w:b/>
                <w:sz w:val="19"/>
              </w:rPr>
              <w:t>1 mes</w:t>
            </w:r>
            <w:r>
              <w:rPr>
                <w:sz w:val="19"/>
              </w:rPr>
              <w:t xml:space="preserve">; automatización del </w:t>
            </w:r>
            <w:r>
              <w:rPr>
                <w:b/>
                <w:sz w:val="19"/>
              </w:rPr>
              <w:t>85\,% - 90\,%</w:t>
            </w:r>
            <w:r>
              <w:rPr>
                <w:sz w:val="19"/>
              </w:rPr>
              <w:t xml:space="preserve"> en validación [39].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Reducción de costos operativos ≥ 70\,%</w:t>
            </w:r>
            <w:r>
              <w:rPr>
                <w:sz w:val="19"/>
              </w:rPr>
              <w:t>; el Estado (ADRES) conserva la propiedad intelectual del software [4], [47].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En su prueba de concepto registró un récord mundial de consumo de IA, evidenciando el riesgo de costos altos si se usan LLMs pesados sin optimización [15].</w:t>
            </w:r>
          </w:p>
        </w:tc>
      </w:tr>
      <w:tr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NHSBSA Reino Unido — EPS &amp; Cloud Data Platform</w:t>
            </w:r>
            <w:r>
              <w:rPr>
                <w:sz w:val="19"/>
              </w:rPr>
              <w:t xml:space="preserve"> (NHSBSA / NHS Digital, 2020–2026) [5], [19]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i/>
                <w:sz w:val="19"/>
              </w:rPr>
              <w:t>Multi-Cloud / AWS &amp; ELT Warehouse</w:t>
            </w:r>
            <w:r>
              <w:rPr>
                <w:sz w:val="19"/>
              </w:rPr>
              <w:t>: Mensajería electrónica EPS (</w:t>
            </w:r>
            <w:r>
              <w:rPr>
                <w:b/>
                <w:sz w:val="19"/>
              </w:rPr>
              <w:t>95\,%</w:t>
            </w:r>
            <w:r>
              <w:rPr>
                <w:sz w:val="19"/>
              </w:rPr>
              <w:t>) vía NHS Spine combinada con escaneo ICR para papel (</w:t>
            </w:r>
            <w:r>
              <w:rPr>
                <w:b/>
                <w:sz w:val="19"/>
              </w:rPr>
              <w:t>5\,%</w:t>
            </w:r>
            <w:r>
              <w:rPr>
                <w:sz w:val="19"/>
              </w:rPr>
              <w:t>) y ELT en AWS [19].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1.100 millones</w:t>
            </w:r>
            <w:r>
              <w:rPr>
                <w:sz w:val="19"/>
              </w:rPr>
              <w:t xml:space="preserve"> de ítems anuales (</w:t>
            </w:r>
            <w:r>
              <w:rPr>
                <w:b/>
                <w:sz w:val="19"/>
              </w:rPr>
              <w:t>690 millones</w:t>
            </w:r>
            <w:r>
              <w:rPr>
                <w:sz w:val="19"/>
              </w:rPr>
              <w:t xml:space="preserve"> de prescripciones) para </w:t>
            </w:r>
            <w:r>
              <w:rPr>
                <w:b/>
                <w:sz w:val="19"/>
              </w:rPr>
              <w:t>60 millones</w:t>
            </w:r>
            <w:r>
              <w:rPr>
                <w:sz w:val="19"/>
              </w:rPr>
              <w:t xml:space="preserve"> de ciudadanos [41].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Disponibilidad del </w:t>
            </w:r>
            <w:r>
              <w:rPr>
                <w:b/>
                <w:sz w:val="19"/>
              </w:rPr>
              <w:t>99,9\,% - 99,99\,%</w:t>
            </w:r>
            <w:r>
              <w:rPr>
                <w:sz w:val="19"/>
              </w:rPr>
              <w:t>; corte mensual para formularios físicos con intervención manual en ICR ambiguo [41].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Ahorros documentados de </w:t>
            </w:r>
            <w:r>
              <w:rPr>
                <w:b/>
                <w:sz w:val="19"/>
              </w:rPr>
              <w:t>£500.000 GBP</w:t>
            </w:r>
            <w:r>
              <w:rPr>
                <w:sz w:val="19"/>
              </w:rPr>
              <w:t xml:space="preserve"> en atención automatizada (Amazon Connect/Lex) y reducción de costos por automatización [5], [41].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El 5\,% remanente en papel requiere transporte físico mensual y operadores humanos cuando los sellos o la caligrafía obstruyen el ICR [41].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Cognizant TriZetto Facets / QNXT &amp; Optum CES</w:t>
            </w:r>
            <w:r>
              <w:rPr>
                <w:sz w:val="19"/>
              </w:rPr>
              <w:t xml:space="preserve"> (2023–2026) [20], [21]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i/>
                <w:sz w:val="19"/>
              </w:rPr>
              <w:t>Motores Comerciales Propietarios (COTS)</w:t>
            </w:r>
            <w:r>
              <w:rPr>
                <w:sz w:val="19"/>
              </w:rPr>
              <w:t>: Plataformas basadas en reglas tabulares cliente/servidor o alojadas, apoyadas en replicación relacional (Sybase/RDBMS) [20].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Millones de reclamaciones en aseguradoras privadas de EE. UU. (HMO, PPO, Medicare Advantage, Medicaid) [20].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 xml:space="preserve">Procesamiento interactivo individual o ventanas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que requieren optimización externa [49].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Licenciamiento propietario costoso (PMPM / por transacción); exige módulos adicionales (</w:t>
            </w:r>
            <w:r>
              <w:rPr>
                <w:i/>
                <w:sz w:val="19"/>
              </w:rPr>
              <w:t>Advanced Batch Framework</w:t>
            </w:r>
            <w:r>
              <w:rPr>
                <w:sz w:val="19"/>
              </w:rPr>
              <w:t>) [51].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Dependencia crítica de replicación RDBMS; poca flexibilidad para NLP profundo; riesgo sistémico de punto único de fallo (</w:t>
            </w:r>
            <w:r>
              <w:rPr>
                <w:i/>
                <w:sz w:val="19"/>
              </w:rPr>
              <w:t>ransomware</w:t>
            </w:r>
            <w:r>
              <w:rPr>
                <w:sz w:val="19"/>
              </w:rPr>
              <w:t xml:space="preserve"> en Change Healthcare) [21].</w:t>
            </w:r>
          </w:p>
        </w:tc>
      </w:tr>
      <w:tr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Kocaman &amp; Talby (2021 &amp; 2022) — Spark NLP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Software Impacts</w:t>
            </w:r>
            <w:r>
              <w:rPr>
                <w:sz w:val="19"/>
              </w:rPr>
              <w:t>, Vols. 8 &amp; 13) [22], [25]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i/>
                <w:sz w:val="19"/>
              </w:rPr>
              <w:t>NLP Clínico Distribuido sobre Apache Spark</w:t>
            </w:r>
            <w:r>
              <w:rPr>
                <w:sz w:val="19"/>
              </w:rPr>
              <w:t>: Arquitectura BiLSTM-CNN-Char modificada y modelos BERT/BioBERT nativos sobre Spark MLlib y TensorFlow en clúster [22].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Escalado horizontal en clústeres Spark; adoptado por el </w:t>
            </w:r>
            <w:r>
              <w:rPr>
                <w:b/>
                <w:sz w:val="19"/>
              </w:rPr>
              <w:t>54\,%</w:t>
            </w:r>
            <w:r>
              <w:rPr>
                <w:sz w:val="19"/>
              </w:rPr>
              <w:t xml:space="preserve"> de organizaciones de salud; </w:t>
            </w:r>
            <w:r>
              <w:rPr>
                <w:b/>
                <w:sz w:val="19"/>
              </w:rPr>
              <w:t>&gt; 35 millones</w:t>
            </w:r>
            <w:r>
              <w:rPr>
                <w:sz w:val="19"/>
              </w:rPr>
              <w:t xml:space="preserve"> de descargas [25].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Ingiere miles de registros/s con retardo medio de </w:t>
            </w:r>
            <w:r>
              <w:rPr>
                <w:b/>
                <w:sz w:val="19"/>
              </w:rPr>
              <w:t>3,5 a 4,2 ms/doc</w:t>
            </w:r>
            <w:r>
              <w:rPr>
                <w:sz w:val="19"/>
              </w:rPr>
              <w:t xml:space="preserve"> (hasta </w:t>
            </w:r>
            <w:r>
              <w:rPr>
                <w:b/>
                <w:sz w:val="19"/>
              </w:rPr>
              <w:t>10.000 docs/s</w:t>
            </w:r>
            <w:r>
              <w:rPr>
                <w:sz w:val="19"/>
              </w:rPr>
              <w:t xml:space="preserve"> en la industria) [25].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Código abierto (Apache 2.0) y Enterprise; supera a AWS Comprehend Medical en </w:t>
            </w:r>
            <w:r>
              <w:rPr>
                <w:b/>
                <w:sz w:val="19"/>
              </w:rPr>
              <w:t>13\,%</w:t>
            </w:r>
            <w:r>
              <w:rPr>
                <w:sz w:val="19"/>
              </w:rPr>
              <w:t xml:space="preserve"> y a Google Healthcare API en </w:t>
            </w:r>
            <w:r>
              <w:rPr>
                <w:b/>
                <w:sz w:val="19"/>
              </w:rPr>
              <w:t>27\,%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F1-score = 0,936</w:t>
            </w:r>
            <w:r>
              <w:rPr>
                <w:sz w:val="19"/>
              </w:rPr>
              <w:t xml:space="preserve"> en i2b2) [22].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En atributos relacionales complejos de determinantes sociales sin ajuste específico, arquitecturas como mSpERT pueden superar su F1 en un </w:t>
            </w:r>
            <w:r>
              <w:rPr>
                <w:b/>
                <w:sz w:val="19"/>
              </w:rPr>
              <w:t>3\,% - 5\,%</w:t>
            </w:r>
            <w:r>
              <w:rPr>
                <w:sz w:val="19"/>
              </w:rPr>
              <w:t xml:space="preserve"> [35].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Seastedt et al. (2025) &amp; AssertionDLModel (2025)</w:t>
            </w:r>
            <w:r>
              <w:rPr>
                <w:sz w:val="19"/>
              </w:rPr>
              <w:t xml:space="preserve"> (PMC12309507 / arXiv:2503.17425) [23], [35]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i/>
                <w:sz w:val="19"/>
              </w:rPr>
              <w:t>Pipelines de Extracción Clínica y Detección de Aserciones</w:t>
            </w:r>
            <w:r>
              <w:rPr>
                <w:sz w:val="19"/>
              </w:rPr>
              <w:t>: Comparativa de Spark NLP frente a mSpERT y modelos BioBERT ajustados (</w:t>
            </w:r>
            <w:r>
              <w:rPr>
                <w:i/>
                <w:sz w:val="19"/>
              </w:rPr>
              <w:t>AssertionDLModel</w:t>
            </w:r>
            <w:r>
              <w:rPr>
                <w:sz w:val="19"/>
              </w:rPr>
              <w:t>) [23].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Corpus de notas clínicas anotadas (</w:t>
            </w:r>
            <w:r>
              <w:rPr>
                <w:i/>
                <w:sz w:val="19"/>
              </w:rPr>
              <w:t>Gold Standard</w:t>
            </w:r>
            <w:r>
              <w:rPr>
                <w:sz w:val="19"/>
              </w:rPr>
              <w:t xml:space="preserve"> de 948 entidades y 596 argumentos temporales) [35].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 xml:space="preserve">Ejecución distribuida integrada como anotador nativo dentro de </w:t>
            </w:r>
            <w:r>
              <w:rPr>
                <w:i/>
                <w:sz w:val="19"/>
              </w:rPr>
              <w:t>pipelines</w:t>
            </w:r>
            <w:r>
              <w:rPr>
                <w:sz w:val="19"/>
              </w:rPr>
              <w:t xml:space="preserve"> de Spark NLP [23].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 xml:space="preserve">Cumple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 xml:space="preserve">: alcanza </w:t>
            </w:r>
            <w:r>
              <w:rPr>
                <w:b/>
                <w:sz w:val="19"/>
              </w:rPr>
              <w:t>F1 = 0,92</w:t>
            </w:r>
            <w:r>
              <w:rPr>
                <w:sz w:val="19"/>
              </w:rPr>
              <w:t xml:space="preserve"> en medicamentos (</w:t>
            </w:r>
            <w:r>
              <w:rPr>
                <w:i/>
                <w:sz w:val="19"/>
              </w:rPr>
              <w:t>Drug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Recall</w:t>
            </w:r>
            <w:r>
              <w:rPr>
                <w:sz w:val="19"/>
              </w:rPr>
              <w:t xml:space="preserve"> = 0,96), </w:t>
            </w:r>
            <w:r>
              <w:rPr>
                <w:b/>
                <w:sz w:val="19"/>
              </w:rPr>
              <w:t>0,94</w:t>
            </w:r>
            <w:r>
              <w:rPr>
                <w:sz w:val="19"/>
              </w:rPr>
              <w:t xml:space="preserve"> en tabaco, </w:t>
            </w:r>
            <w:r>
              <w:rPr>
                <w:b/>
                <w:sz w:val="19"/>
              </w:rPr>
              <w:t>0,93</w:t>
            </w:r>
            <w:r>
              <w:rPr>
                <w:sz w:val="19"/>
              </w:rPr>
              <w:t xml:space="preserve"> en cantidades (</w:t>
            </w:r>
            <w:r>
              <w:rPr>
                <w:i/>
                <w:sz w:val="19"/>
              </w:rPr>
              <w:t>Amount</w:t>
            </w:r>
            <w:r>
              <w:rPr>
                <w:sz w:val="19"/>
              </w:rPr>
              <w:t xml:space="preserve">, </w:t>
            </w:r>
            <w:r>
              <w:rPr>
                <w:i/>
                <w:sz w:val="19"/>
              </w:rPr>
              <w:t>Precision</w:t>
            </w:r>
            <w:r>
              <w:rPr>
                <w:sz w:val="19"/>
              </w:rPr>
              <w:t xml:space="preserve"> = 0,95) y </w:t>
            </w:r>
            <w:r>
              <w:rPr>
                <w:b/>
                <w:sz w:val="19"/>
              </w:rPr>
              <w:t>0,93 - 0,96</w:t>
            </w:r>
            <w:r>
              <w:rPr>
                <w:sz w:val="19"/>
              </w:rPr>
              <w:t xml:space="preserve"> en aserciones [23], [35].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Requiere ajustes específicos por institución para generalizar la extracción de modificadores temporales complejos [35].</w:t>
            </w:r>
          </w:p>
        </w:tc>
      </w:tr>
      <w:tr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Onyango (2024) &amp; Hybrid Claims Evaluation (2024)</w:t>
            </w:r>
            <w:r>
              <w:rPr>
                <w:sz w:val="19"/>
              </w:rPr>
              <w:t xml:space="preserve"> (IJRAR / IJEETR) [33], [43]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i/>
                <w:sz w:val="19"/>
              </w:rPr>
              <w:t>Streaming Híbrido y Motor de Reglas</w:t>
            </w:r>
            <w:r>
              <w:rPr>
                <w:sz w:val="19"/>
              </w:rPr>
              <w:t>: Ingesta con Apache Kafka, Apache Flink y Spark Streaming combinada con Drools (algoritmo Rete/Phreak) y ML cuantizado [33].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Flujos continuos de reclamaciones de seguros de salud a gran escala [33].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Latencia media </w:t>
            </w:r>
            <w:r>
              <w:rPr>
                <w:b/>
                <w:sz w:val="19"/>
              </w:rPr>
              <w:t>&lt; 50 ms</w:t>
            </w:r>
            <w:r>
              <w:rPr>
                <w:sz w:val="19"/>
              </w:rPr>
              <w:t xml:space="preserve"> en </w:t>
            </w:r>
            <w:r>
              <w:rPr>
                <w:i/>
                <w:sz w:val="19"/>
              </w:rPr>
              <w:t>streaming</w:t>
            </w:r>
            <w:r>
              <w:rPr>
                <w:sz w:val="19"/>
              </w:rPr>
              <w:t xml:space="preserve"> ML; Drools alcanza </w:t>
            </w:r>
            <w:r>
              <w:rPr>
                <w:b/>
                <w:sz w:val="19"/>
              </w:rPr>
              <w:t>15.000 reglas/s</w:t>
            </w:r>
            <w:r>
              <w:rPr>
                <w:sz w:val="19"/>
              </w:rPr>
              <w:t xml:space="preserve"> con latencia </w:t>
            </w:r>
            <w:r>
              <w:rPr>
                <w:b/>
                <w:sz w:val="19"/>
              </w:rPr>
              <w:t>&lt; 10 ms</w:t>
            </w:r>
            <w:r>
              <w:rPr>
                <w:sz w:val="19"/>
              </w:rPr>
              <w:t xml:space="preserve"> [33].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Reduce la revisión manual de auditores en un </w:t>
            </w:r>
            <w:r>
              <w:rPr>
                <w:b/>
                <w:sz w:val="19"/>
              </w:rPr>
              <w:t>78\,%</w:t>
            </w:r>
            <w:r>
              <w:rPr>
                <w:sz w:val="19"/>
              </w:rPr>
              <w:t xml:space="preserve">; exactitud de detección del </w:t>
            </w:r>
            <w:r>
              <w:rPr>
                <w:b/>
                <w:sz w:val="19"/>
              </w:rPr>
              <w:t>96,5\,%</w:t>
            </w:r>
            <w:r>
              <w:rPr>
                <w:sz w:val="19"/>
              </w:rPr>
              <w:t xml:space="preserve"> y precisión del </w:t>
            </w:r>
            <w:r>
              <w:rPr>
                <w:b/>
                <w:sz w:val="19"/>
              </w:rPr>
              <w:t>94,2\,%</w:t>
            </w:r>
            <w:r>
              <w:rPr>
                <w:sz w:val="19"/>
              </w:rPr>
              <w:t xml:space="preserve"> [33].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El algoritmo Rete tradicional de Drools sufre degradación de memoria con grandes volúmenes de hechos </w:t>
            </w:r>
            <w:r>
              <w:rPr>
                <w:i/>
                <w:sz w:val="19"/>
              </w:rPr>
              <w:t>stateful</w:t>
            </w:r>
            <w:r>
              <w:rPr>
                <w:sz w:val="19"/>
              </w:rPr>
              <w:t>, exigiendo variantes distribuidas en Spark [34].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Khan (2025–2026) — SparkRules &amp; Dress</w:t>
            </w:r>
            <w:r>
              <w:rPr>
                <w:sz w:val="19"/>
              </w:rPr>
              <w:t xml:space="preserve"> (PMC9961973 / GitHub) [16], [34]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i/>
                <w:sz w:val="19"/>
              </w:rPr>
              <w:t>Motor de Reglas Distribuido en Spark</w:t>
            </w:r>
            <w:r>
              <w:rPr>
                <w:sz w:val="19"/>
              </w:rPr>
              <w:t xml:space="preserve">: Evaluación de reglas estilo Drools (DRL) y tablas de decisión DMN 1.3 XML (políticas </w:t>
            </w:r>
            <w:r>
              <w:rPr>
                <w:rFonts w:ascii="Consolas" w:hAnsi="Consolas"/>
                <w:sz w:val="19"/>
              </w:rPr>
              <w:t>UNIQUE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FIRST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PRIORITY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COLLECT</w:t>
            </w:r>
            <w:r>
              <w:rPr>
                <w:sz w:val="19"/>
              </w:rPr>
              <w:t>) sobre Spark [16].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Lotes masivos (</w:t>
            </w:r>
            <w:r>
              <w:rPr>
                <w:i/>
                <w:sz w:val="19"/>
              </w:rPr>
              <w:t>batches</w:t>
            </w:r>
            <w:r>
              <w:rPr>
                <w:sz w:val="19"/>
              </w:rPr>
              <w:t xml:space="preserve">) de </w:t>
            </w:r>
            <w:r>
              <w:rPr>
                <w:b/>
                <w:sz w:val="19"/>
              </w:rPr>
              <w:t>12 millones de órdenes</w:t>
            </w:r>
            <w:r>
              <w:rPr>
                <w:sz w:val="19"/>
              </w:rPr>
              <w:t xml:space="preserve"> distribuidos horizontalmente en clústeres Spark [16].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Alto caudal (</w:t>
            </w:r>
            <w:r>
              <w:rPr>
                <w:b/>
                <w:sz w:val="19"/>
              </w:rPr>
              <w:t>&gt; 1.111 órdenes/s</w:t>
            </w:r>
            <w:r>
              <w:rPr>
                <w:sz w:val="19"/>
              </w:rPr>
              <w:t>) y baja latencia mediante paralelización de particiones en memoria [16].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Código abierto; incluye perfilado de calidad pre-reglas y generación automática de avisos regulatorios con códigos de razón ordenados por prioridad [16].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Soporta un subconjunto acotado de DMN 1.3 XML orientado a tablas de decisión; requiere gobernanza de versiones de reglas en el catálogo [16].</w:t>
            </w:r>
          </w:p>
        </w:tc>
      </w:tr>
      <w:tr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AWS Architecture Benchmarks (2024–2026)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Stateful Batch on EMR vs. Glue vs. Step Functions</w:t>
            </w:r>
            <w:r>
              <w:rPr>
                <w:sz w:val="19"/>
              </w:rPr>
              <w:t>) [11], [12], [29]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i/>
                <w:sz w:val="19"/>
              </w:rPr>
              <w:t>Comparativa de Cómputo Nativo en AWS</w:t>
            </w:r>
            <w:r>
              <w:rPr>
                <w:sz w:val="19"/>
              </w:rPr>
              <w:t>: Migración de flujos transaccionales sin estado a lotes acotados en el tiempo en Amazon EMR frente a Glue y Step Functions [11].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Escala de terabytes a petabytes y decenas de millones de órdenes médicas diarias [11].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Arranque (</w:t>
            </w:r>
            <w:r>
              <w:rPr>
                <w:i/>
                <w:sz w:val="19"/>
              </w:rPr>
              <w:t>bootstrap</w:t>
            </w:r>
            <w:r>
              <w:rPr>
                <w:sz w:val="19"/>
              </w:rPr>
              <w:t xml:space="preserve">) de EMR en </w:t>
            </w:r>
            <w:r>
              <w:rPr>
                <w:b/>
                <w:sz w:val="19"/>
              </w:rPr>
              <w:t>~ 10 min</w:t>
            </w:r>
            <w:r>
              <w:rPr>
                <w:sz w:val="19"/>
              </w:rPr>
              <w:t>; límite de 15 min en Lambda y 5 min en Step Functions Express [11].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Migrar a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en EMR logra una </w:t>
            </w:r>
            <w:r>
              <w:rPr>
                <w:b/>
                <w:sz w:val="19"/>
              </w:rPr>
              <w:t>reducción de costos ≥ 70\,%</w:t>
            </w:r>
            <w:r>
              <w:rPr>
                <w:sz w:val="19"/>
              </w:rPr>
              <w:t xml:space="preserve"> (hasta 78\,% [12]); EMR (</w:t>
            </w:r>
            <w:r>
              <w:rPr>
                <w:b/>
                <w:sz w:val="19"/>
              </w:rPr>
              <w:t>$185 - 260 USD/día$</w:t>
            </w:r>
            <w:r>
              <w:rPr>
                <w:sz w:val="19"/>
              </w:rPr>
              <w:t>) supera ampliamente a Glue y Step Functions [11].</w:t>
            </w:r>
          </w:p>
        </w:tc>
        <w:tc>
          <w:tcPr>
            <w:tcW w:type="dxa" w:w="156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EMR exige automatizar el apagado del clúster (</w:t>
            </w:r>
            <w:r>
              <w:rPr>
                <w:i/>
                <w:sz w:val="19"/>
              </w:rPr>
              <w:t>teardown</w:t>
            </w:r>
            <w:r>
              <w:rPr>
                <w:sz w:val="19"/>
              </w:rPr>
              <w:t xml:space="preserve">) y gestionar políticas de escalado e instancias </w:t>
            </w:r>
            <w:r>
              <w:rPr>
                <w:i/>
                <w:sz w:val="19"/>
              </w:rPr>
              <w:t>Spot</w:t>
            </w:r>
            <w:r>
              <w:rPr>
                <w:sz w:val="19"/>
              </w:rPr>
              <w:t xml:space="preserve"> para evitar costos ociosos [11].</w:t>
            </w:r>
          </w:p>
        </w:tc>
      </w:tr>
      <w:tr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Arquitecturas Lakehouse Abiertas (2025–2026)</w:t>
            </w:r>
            <w:r>
              <w:rPr>
                <w:sz w:val="19"/>
              </w:rPr>
              <w:t xml:space="preserve"> (</w:t>
            </w:r>
            <w:r>
              <w:rPr>
                <w:i/>
                <w:sz w:val="19"/>
              </w:rPr>
              <w:t>Apache Iceberg sobre Amazon S3</w:t>
            </w:r>
            <w:r>
              <w:rPr>
                <w:sz w:val="19"/>
              </w:rPr>
              <w:t>) [13], [26], [32]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i/>
                <w:sz w:val="19"/>
              </w:rPr>
              <w:t>Almacenamiento Transaccional y Linaje Semántico</w:t>
            </w:r>
            <w:r>
              <w:rPr>
                <w:sz w:val="19"/>
              </w:rPr>
              <w:t>: Tablas Apache Iceberg sobre Parquet en S3 con catálogo AWS Glue y arquitectura de conocimiento de dos niveles (LGD y SLGD con SHACL) [26], [32].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Escala probada hasta miles de millones de archivos y decenas de miles de millones de filas [26].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Planificación rápida de consultas mediante manifiestos jerárquicos Avro/JSON; consultas de auditoría en segundos [26].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b/>
                <w:sz w:val="19"/>
              </w:rPr>
              <w:t>Reducción del TCO ≥ 70\,%</w:t>
            </w:r>
            <w:r>
              <w:rPr>
                <w:sz w:val="19"/>
              </w:rPr>
              <w:t xml:space="preserve"> al desacoplar almacenamiento económico S3 del cómputo multimotor (Spark, Trino, Athena, Redshift) [26].</w:t>
            </w:r>
          </w:p>
        </w:tc>
        <w:tc>
          <w:tcPr>
            <w:tcW w:type="dxa" w:w="1560"/>
          </w:tcPr>
          <w:p>
            <w:pPr>
              <w:spacing w:before="60" w:after="60"/>
            </w:pPr>
            <w:r>
              <w:rPr>
                <w:sz w:val="19"/>
              </w:rPr>
              <w:t>Exige mantenimiento periódico de compactación de archivos pequeños (</w:t>
            </w:r>
            <w:r>
              <w:rPr>
                <w:i/>
                <w:sz w:val="19"/>
              </w:rPr>
              <w:t>compaction</w:t>
            </w:r>
            <w:r>
              <w:rPr>
                <w:sz w:val="19"/>
              </w:rPr>
              <w:t>) y expiración de instantáneas para optimizar lecturas [26].</w:t>
            </w:r>
          </w:p>
        </w:tc>
      </w:tr>
    </w:tbl>
    <w:p/>
    <w:p>
      <w:pPr>
        <w:pStyle w:val="Heading4"/>
      </w:pPr>
      <w:r>
        <w:rPr>
          <w:color w:val="2E75B6"/>
        </w:rPr>
        <w:t>Síntesis de Benchmarks en Extracción Clínica (Spark NLP vs. Estado del Arte)</w:t>
      </w:r>
    </w:p>
    <w:p>
      <w:pPr>
        <w:jc w:val="both"/>
      </w:pPr>
      <w:r>
        <w:t xml:space="preserve">Los estudios empíricos de Kocaman &amp; Talby [22], [25] y Seastedt et al. [35] confirman que la combinación de arquitecturas BiLSTM-CNN-Char y modelos BioBERT/BioELECTRA con adaptadores </w:t>
      </w:r>
      <w:r>
        <w:rPr>
          <w:b/>
        </w:rPr>
        <w:t>LoRA</w:t>
      </w:r>
      <w:r>
        <w:t xml:space="preserve"> (</w:t>
      </w:r>
      <w:r>
        <w:rPr>
          <w:i/>
        </w:rPr>
        <w:t>Low-Rank Adaptation</w:t>
      </w:r>
      <w:r>
        <w:t xml:space="preserve">, que actualizan </w:t>
      </w:r>
      <w:r>
        <w:rPr>
          <w:b/>
        </w:rPr>
        <w:t>&lt; 1\,%</w:t>
      </w:r>
      <w:r>
        <w:t xml:space="preserve"> de los parámetros totales —~ 3 millones frente a &gt; 110 millones— acelerando la inferencia entre 2× y 3× [48]) supera el umbral exigido de </w:t>
      </w:r>
      <w:r>
        <w:rPr>
          <w:b/>
        </w:rPr>
        <w:t>F1-score ≥ 0,92</w:t>
      </w:r>
      <w:r>
        <w:t xml:space="preserve"> en las entidades críticas para la auditoría de órdenes médicas: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Conjunto de Datos / Entidad Clínica Evaluada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Spark NLP Biomédico / Clínico (F1\,%)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Comparador Stanza / mSpERT (F1\,%)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Comparador SciSpacy (F1\,%)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Implicación para la Auditoría de Glosas Médicas (12M órdenes/día)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BC4CHEMD (Químicos y Fármacos)</w:t>
            </w:r>
            <w:r>
              <w:rPr>
                <w:sz w:val="19"/>
              </w:rPr>
              <w:t xml:space="preserve"> [25]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93,3\,%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89,7\,% (Stanza)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84,6\,%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Máxima exactitud (F1 ≥ 0,92) en identificación de principios activos farmacéuticos.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BC5CDR (Químicos y Enfermedades)</w:t>
            </w:r>
            <w:r>
              <w:rPr>
                <w:sz w:val="19"/>
              </w:rPr>
              <w:t xml:space="preserve"> [25]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90,0\,%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88,1\,% (Stanza)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83,9\,%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Validación cruzada entre el medicamento prescrito y la patología de base.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NCBI-Disease (Enfermedades)</w:t>
            </w:r>
            <w:r>
              <w:rPr>
                <w:sz w:val="19"/>
              </w:rPr>
              <w:t xml:space="preserve"> [25]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89,1\,%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87,5\,% (Stanza)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81,7\,%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Reconocimiento robusto de diagnósticos clínicos en texto libre.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i2b2/2010 (Entidades Clínicas Generales)</w:t>
            </w:r>
            <w:r>
              <w:rPr>
                <w:sz w:val="19"/>
              </w:rPr>
              <w:t xml:space="preserve"> [22]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93,6\,%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80,6\,% (AWS Comprehend)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66,6\,% (Google API)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 xml:space="preserve">Supera el umbral de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 xml:space="preserve"> y aventaja en +13\,% a Comprehend Medical.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Entidad Clínica: Medicamento (*Drug*)</w:t>
            </w:r>
            <w:r>
              <w:rPr>
                <w:sz w:val="19"/>
              </w:rPr>
              <w:t xml:space="preserve"> [35]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92,0\,%</w:t>
            </w:r>
            <w:r>
              <w:rPr>
                <w:sz w:val="19"/>
              </w:rPr>
              <w:t xml:space="preserve"> (P: 0,89, R: 0,96)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91,0\,% (mSpERT)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N/A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Cumple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 xml:space="preserve"> y privilegia la sensibilidad (</w:t>
            </w:r>
            <w:r>
              <w:rPr>
                <w:i/>
                <w:sz w:val="19"/>
              </w:rPr>
              <w:t>recall</w:t>
            </w:r>
            <w:r>
              <w:rPr>
                <w:sz w:val="19"/>
              </w:rPr>
              <w:t xml:space="preserve"> de 96\,%) para no omitir fármacos facturados.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Entidad Clínica: Cantidad / Dosis (*Amount*)</w:t>
            </w:r>
            <w:r>
              <w:rPr>
                <w:sz w:val="19"/>
              </w:rPr>
              <w:t xml:space="preserve"> [35]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93,0\,%</w:t>
            </w:r>
            <w:r>
              <w:rPr>
                <w:sz w:val="19"/>
              </w:rPr>
              <w:t xml:space="preserve"> (P: 0,95, R: 0,91)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92,0\,% (mSpERT)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N/A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 xml:space="preserve">Precisión del </w:t>
            </w:r>
            <w:r>
              <w:rPr>
                <w:b/>
                <w:sz w:val="19"/>
              </w:rPr>
              <w:t>95\,%</w:t>
            </w:r>
            <w:r>
              <w:rPr>
                <w:sz w:val="19"/>
              </w:rPr>
              <w:t xml:space="preserve"> (F1 = 0,93 ≥ 0,92) para liquidar unidades exactas al </w:t>
            </w:r>
            <w:r>
              <w:rPr>
                <w:b/>
                <w:sz w:val="19"/>
              </w:rPr>
              <w:t>100\,%, 50\,% o 25\,%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Entidad Clínica: Frecuencia (*Frequency*)</w:t>
            </w:r>
            <w:r>
              <w:rPr>
                <w:sz w:val="19"/>
              </w:rPr>
              <w:t xml:space="preserve"> [35]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92,0\,%</w:t>
            </w:r>
            <w:r>
              <w:rPr>
                <w:sz w:val="19"/>
              </w:rPr>
              <w:t xml:space="preserve"> (P: 0,91, R: 0,93)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91,0\,% (mSpERT)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N/A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Determinación exacta de posología diaria y duración del tratamiento prescrito (F1 = 0,92).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Estado de Aserción (*AssertionDLModel*)</w:t>
            </w:r>
            <w:r>
              <w:rPr>
                <w:sz w:val="19"/>
              </w:rPr>
              <w:t xml:space="preserve"> [23]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93,0\,% - 96,0\,%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N/A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N/A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Filtra diagnósticos negados, condicionales o de terceros antes de aplicar las reglas de cobertura.</w:t>
            </w:r>
          </w:p>
        </w:tc>
      </w:tr>
    </w:tbl>
    <w:p/>
    <w:p>
      <w:pPr>
        <w:pStyle w:val="Heading3"/>
      </w:pPr>
      <w:r>
        <w:rPr>
          <w:color w:val="2E75B6"/>
        </w:rPr>
        <w:t>3.6. Identificación de Brechas del Mercado (</w:t>
      </w:r>
      <w:r>
        <w:rPr>
          <w:i/>
          <w:color w:val="2E75B6"/>
        </w:rPr>
        <w:t>Market Gaps</w:t>
      </w:r>
      <w:r>
        <w:rPr>
          <w:color w:val="2E75B6"/>
        </w:rPr>
        <w:t>) y Justificación de Arquitectura Personalizada</w:t>
      </w:r>
    </w:p>
    <w:p>
      <w:pPr>
        <w:jc w:val="both"/>
      </w:pPr>
      <w:r>
        <w:t>La síntesis cruzada de los 18 estudios incluidos en la revisión PRISMA 2020 expone cuatro vacíos críticos en el mercado que impiden adoptar un producto comercial empaquetado y justifican el diseño de una arquitectura distribuida personalizada sobre AWS:</w:t>
      </w:r>
    </w:p>
    <w:p>
      <w:pPr>
        <w:pStyle w:val="ListNumber"/>
      </w:pPr>
      <w:r>
        <w:rPr>
          <w:b/>
        </w:rPr>
        <w:t>Brecha de Escala Económica en el Procesamiento de Texto Clínico:</w:t>
      </w:r>
      <w:r>
        <w:t xml:space="preserve"> Existe una desconexión severa entre los motores transaccionales tradicionales (TriZetto Facets, QNXT, mainframes COBOL) —que carecen de capacidades nativas para interpretar texto libre— y las APIs gestionadas de NLP en la nube (Amazon Comprehend Medical), cuyo esquema de tarificación por bloques de 100 caracteres ($0,01 USD por unidad en </w:t>
      </w:r>
      <w:r>
        <w:rPr>
          <w:rFonts w:ascii="Consolas" w:hAnsi="Consolas"/>
          <w:sz w:val="19"/>
        </w:rPr>
        <w:t>DetectEntitiesV2</w:t>
      </w:r>
      <w:r>
        <w:t xml:space="preserve">) fue concebido para cargas departamentales y resulta financieramente inviable a escala nacional [3], [24]. Procesar </w:t>
      </w:r>
      <w:r>
        <w:rPr>
          <w:b/>
        </w:rPr>
        <w:t>12 millones de órdenes médicas</w:t>
      </w:r>
      <w:r>
        <w:t xml:space="preserve"> diarias en una API comercial por caracteres demandaría más de </w:t>
      </w:r>
      <w:r>
        <w:rPr>
          <w:b/>
        </w:rPr>
        <w:t>$150.000 USD diarios</w:t>
      </w:r>
      <w:r>
        <w:t xml:space="preserve">, mientras que ejecutar la extracción </w:t>
      </w:r>
      <w:r>
        <w:rPr>
          <w:i/>
        </w:rPr>
        <w:t>in-process</w:t>
      </w:r>
      <w:r>
        <w:t xml:space="preserve"> mediante Spark NLP sobre clústeres efímeros Amazon EMR con instancias ARM Graviton2 </w:t>
      </w:r>
      <w:r>
        <w:rPr>
          <w:i/>
        </w:rPr>
        <w:t>Spot</w:t>
      </w:r>
      <w:r>
        <w:t xml:space="preserve"> reduce el costo computacional a </w:t>
      </w:r>
      <w:r>
        <w:rPr>
          <w:b/>
        </w:rPr>
        <w:t>~ 220 USD diarios</w:t>
      </w:r>
      <w:r>
        <w:t xml:space="preserve"> (una </w:t>
      </w:r>
      <w:r>
        <w:rPr>
          <w:b/>
        </w:rPr>
        <w:t>reducción de costos ≥ 70\,%</w:t>
      </w:r>
      <w:r>
        <w:t>, superando el 99\,% frente a APIs por caracteres) y mejora en un +13\,% la precisión clínica (F1-score = 0,936 ≥ 0,92$) [22].</w:t>
      </w:r>
    </w:p>
    <w:p>
      <w:pPr>
        <w:pStyle w:val="ListNumber"/>
      </w:pPr>
      <w:r>
        <w:rPr>
          <w:b/>
        </w:rPr>
        <w:t>Brecha Lingüística y de Soberanía Normativa:</w:t>
      </w:r>
      <w:r>
        <w:t xml:space="preserve"> Servicios como Amazon Comprehend Medical operan exclusivamente en idioma inglés y vinculan entidades hacia ontologías estadounidenses (RxNorm, ICD-10-CM) [24]. Un pagador público en América Latina (como ADRES en Colombia o Fonasa en Chile) requiere procesar glosas clínicas redactadas en español con abreviaturas médicas locales y cruzarlas contra catálogos regulatorios nacionales (CUPS, CUM, RIPS, manuales tarifarios SOAT) [6], [15]. Además, como demostró el proyecto SIA de la ADRES, el Estado debe conservar la propiedad intelectual de la plataforma y el control directo sobre sus reglas deterministas para no quedar cautivo de licencias transaccionales perpetuas [15], [47].</w:t>
      </w:r>
    </w:p>
    <w:p>
      <w:pPr>
        <w:pStyle w:val="ListNumber"/>
      </w:pPr>
      <w:r>
        <w:rPr>
          <w:b/>
        </w:rPr>
        <w:t>Brecha de Explicabilidad y Trazabilidad Contable en Inteligencia Artificial:</w:t>
      </w:r>
      <w:r>
        <w:t xml:space="preserve"> Dictaminar que una orden médica </w:t>
      </w:r>
      <w:r>
        <w:rPr>
          <w:b/>
        </w:rPr>
        <w:t>No cubre</w:t>
      </w:r>
      <w:r>
        <w:t xml:space="preserve"> o que se liquida parcialmente al </w:t>
      </w:r>
      <w:r>
        <w:rPr>
          <w:b/>
        </w:rPr>
        <w:t>50\,% o 25\,%</w:t>
      </w:r>
      <w:r>
        <w:t xml:space="preserve"> basándose en la salida opaca de una red neuronal o de un LLM generativo resulta jurídicamente indefendible ante recursos administrativos de clínicas y hospitales o auditorías de contralorías fiscales [14]. El mercado comercial carece de soluciones integradas que combinen la extracción neuronal de alta sensibilidad (F1-score ≥ 0,92, conservando los índices exactos de caracteres </w:t>
      </w:r>
      <w:r>
        <w:rPr>
          <w:rFonts w:ascii="Consolas" w:hAnsi="Consolas"/>
          <w:sz w:val="19"/>
        </w:rPr>
        <w:t>char_begin</w:t>
      </w:r>
      <w:r>
        <w:t xml:space="preserve"> y </w:t>
      </w:r>
      <w:r>
        <w:rPr>
          <w:rFonts w:ascii="Consolas" w:hAnsi="Consolas"/>
          <w:sz w:val="19"/>
        </w:rPr>
        <w:t>char_end</w:t>
      </w:r>
      <w:r>
        <w:t>) con un motor de reglas deterministas distribuido (SparkRules / DMN 1.3) capaz de emitir códigos legales de glosa verificables y persistir todo el linaje a nivel de columna sobre tablas versionadas [13], [16].</w:t>
      </w:r>
    </w:p>
    <w:p>
      <w:pPr>
        <w:pStyle w:val="ListNumber"/>
      </w:pPr>
      <w:r>
        <w:rPr>
          <w:b/>
        </w:rPr>
        <w:t>Brecha de Resiliencia y Acoplamiento Arquitectónico:</w:t>
      </w:r>
      <w:r>
        <w:t xml:space="preserve"> Como evidenció la parálisis nacional de pagos en EE. UU. tras el ataque de </w:t>
      </w:r>
      <w:r>
        <w:rPr>
          <w:i/>
        </w:rPr>
        <w:t>ransomware</w:t>
      </w:r>
      <w:r>
        <w:t xml:space="preserve"> contra Change Healthcare [21] y el estancamiento en la conversión de COBOL en CMS [3], las plataformas monolíticas que acoplan el almacenamiento transaccional con el motor de cálculo crean puntos únicos de fallo catastróficos. Desacoplar el almacenamiento en un formato de tabla abierto (</w:t>
      </w:r>
      <w:r>
        <w:rPr>
          <w:b/>
        </w:rPr>
        <w:t>Apache Iceberg</w:t>
      </w:r>
      <w:r>
        <w:t xml:space="preserve"> sobre Amazon S3, con durabilidad de 99,999999999\,%) respecto del cómputo distribuido efímero (Amazon EMR) elimina el bloqueo de proveedor y permite que múltiples motores analíticos (Spark, Trino, Athena, Redshift) consulten la misma copia gobernada de datos [14], [26].</w:t>
      </w:r>
    </w:p>
    <w:p>
      <w:pPr>
        <w:pStyle w:val="Heading2"/>
      </w:pPr>
      <w:r>
        <w:rPr>
          <w:color w:val="1F4E79"/>
        </w:rPr>
        <w:t>4. Metodología y Plan de Trabajo (Integración COIL)</w:t>
      </w:r>
    </w:p>
    <w:p>
      <w:pPr>
        <w:jc w:val="both"/>
      </w:pPr>
      <w:r>
        <w:t xml:space="preserve">Para garantizar el éxito técnico y metodológico del proyecto dentro de los plazos de la licitación académica e industrial, la ejecución se estructura en una </w:t>
      </w:r>
      <w:r>
        <w:rPr>
          <w:b/>
        </w:rPr>
        <w:t>ruta crítica de 6 fases secuenciales</w:t>
      </w:r>
      <w:r>
        <w:t xml:space="preserve">, articulando de manera transversal la ingeniería de </w:t>
      </w:r>
      <w:r>
        <w:rPr>
          <w:b/>
        </w:rPr>
        <w:t>Big Data</w:t>
      </w:r>
      <w:r>
        <w:t xml:space="preserve"> con el rigor de </w:t>
      </w:r>
      <w:r>
        <w:rPr>
          <w:b/>
        </w:rPr>
        <w:t>Metodología de la Investigación</w:t>
      </w:r>
      <w:r>
        <w:t xml:space="preserve"> bajo el marco de aprendizaje colaborativo internacional en línea (</w:t>
      </w:r>
      <w:r>
        <w:rPr>
          <w:b/>
        </w:rPr>
        <w:t>Proyecto COIL</w:t>
      </w:r>
      <w:r>
        <w:t>).</w:t>
      </w:r>
    </w:p>
    <w:p>
      <w:pPr>
        <w:pStyle w:val="Heading3"/>
      </w:pPr>
      <w:r>
        <w:rPr>
          <w:color w:val="2E75B6"/>
        </w:rPr>
        <w:t>4.1. Ruta Crítica de 6 Fases Secuenciales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Nombre de la Fase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Actividades Técnicas y Metodológicas Clave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Entregables y Métricas de Verificación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1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Diagnóstico Normativo y Formalización de Reglas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Análisis del flujo de auditoría en pagadores públicos (ADRES/Fonasa/CMS); definición del esquema de datos de la orden médica y la glosa clínica (paciente, edad, diagnóstico, medicamento); modelado de las tablas de decisión DMN 1.3 para cobertura (</w:t>
            </w:r>
            <w:r>
              <w:rPr>
                <w:b/>
                <w:sz w:val="19"/>
              </w:rPr>
              <w:t>Cubre / No cubre</w:t>
            </w:r>
            <w:r>
              <w:rPr>
                <w:sz w:val="19"/>
              </w:rPr>
              <w:t>) y liquidación escalonada (</w:t>
            </w:r>
            <w:r>
              <w:rPr>
                <w:b/>
                <w:sz w:val="19"/>
              </w:rPr>
              <w:t>100\,%, 50\,% o 25\,%</w:t>
            </w:r>
            <w:r>
              <w:rPr>
                <w:sz w:val="19"/>
              </w:rPr>
              <w:t>).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Diccionario de datos clínicos, especificación formal de reglas DRL/DMN 1.3 y matriz de trazabilidad normativa.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Revisión Sistemática PRISMA 2020 y Línea Base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Aplicación del marco PICO; ejecución de ecuaciones booleanas en IEEE, ACM, PubMed, Scopus y ScienceDirect; cribado y elegibilidad documentada (N = 284 → n = 18 estudios incluidos); síntesis comparativa de las 4 familias tecnológicas e identificación de brechas de mercado.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Entregable 01:</w:t>
            </w:r>
            <w:r>
              <w:rPr>
                <w:sz w:val="19"/>
              </w:rPr>
              <w:t xml:space="preserve"> Documento de Propuesta Técnica y Económica con protocolo PRISMA 2020 cuantificado.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3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Diseño Arquitectónico Lakehouse en AWS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Diseño detallado de las 5 capas en AWS (Ingesta S3/EventBridge, Extracción EMR Spark NLP, Motor SparkRules, Persistencia Apache Iceberg Medallion Bronce/Plata/Oro y Exposición Athena/Redshift); diseño del grafo léxico (LGD) y semántico (SLGD) con restricciones SHACL.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Diagramas de arquitectura en AWS, especificación de tablas Apache Iceberg y políticas de seguridad IAM/KMS/HIPAA.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Construcción del Pipeline Distribuido (NLP + Reglas)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 xml:space="preserve">Implementación del pipeline en PySpark sobre Amazon EMR (instancias Graviton2); integración de anotadores clínicos en español de Spark NLP y </w:t>
            </w:r>
            <w:r>
              <w:rPr>
                <w:rFonts w:ascii="Consolas" w:hAnsi="Consolas"/>
                <w:sz w:val="19"/>
              </w:rPr>
              <w:t>AssertionDLModel</w:t>
            </w:r>
            <w:r>
              <w:rPr>
                <w:sz w:val="19"/>
              </w:rPr>
              <w:t xml:space="preserve">; codificación del motor distribuido </w:t>
            </w:r>
            <w:r>
              <w:rPr>
                <w:rFonts w:ascii="Consolas" w:hAnsi="Consolas"/>
                <w:sz w:val="19"/>
              </w:rPr>
              <w:t>SparkRules</w:t>
            </w:r>
            <w:r>
              <w:rPr>
                <w:sz w:val="19"/>
              </w:rPr>
              <w:t xml:space="preserve"> con generación del vector explicable </w:t>
            </w:r>
            <w:r>
              <w:rPr>
                <w:rFonts w:ascii="Consolas" w:hAnsi="Consolas"/>
                <w:sz w:val="19"/>
              </w:rPr>
              <w:t>adverse_action_notice</w:t>
            </w:r>
            <w:r>
              <w:rPr>
                <w:sz w:val="19"/>
              </w:rPr>
              <w:t>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 xml:space="preserve">Repositorio de código versionado (Git), </w:t>
            </w:r>
            <w:r>
              <w:rPr>
                <w:i/>
                <w:sz w:val="19"/>
              </w:rPr>
              <w:t>notebooks</w:t>
            </w:r>
            <w:r>
              <w:rPr>
                <w:sz w:val="19"/>
              </w:rPr>
              <w:t>/scripts de PySpark y catálogo versionado de reglas DMN/DRL.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5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Pruebas de Escala, Benchmarking y Auditoría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Generación de </w:t>
            </w:r>
            <w:r>
              <w:rPr>
                <w:i/>
                <w:sz w:val="19"/>
              </w:rPr>
              <w:t>dataset</w:t>
            </w:r>
            <w:r>
              <w:rPr>
                <w:sz w:val="19"/>
              </w:rPr>
              <w:t xml:space="preserve"> sintético representativo de </w:t>
            </w:r>
            <w:r>
              <w:rPr>
                <w:b/>
                <w:sz w:val="19"/>
              </w:rPr>
              <w:t>12 millones de órdenes médicas</w:t>
            </w:r>
            <w:r>
              <w:rPr>
                <w:sz w:val="19"/>
              </w:rPr>
              <w:t xml:space="preserve"> con glosas clínicas; pruebas de rendimiento para validar el caudal continuo (</w:t>
            </w:r>
            <w:r>
              <w:rPr>
                <w:b/>
                <w:sz w:val="19"/>
              </w:rPr>
              <w:t>139 órdenes/s</w:t>
            </w:r>
            <w:r>
              <w:rPr>
                <w:sz w:val="19"/>
              </w:rPr>
              <w:t xml:space="preserve"> en 24 h) y en ventana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de 3 h (</w:t>
            </w:r>
            <w:r>
              <w:rPr>
                <w:b/>
                <w:sz w:val="19"/>
              </w:rPr>
              <w:t>1.111 órdenes/s</w:t>
            </w:r>
            <w:r>
              <w:rPr>
                <w:sz w:val="19"/>
              </w:rPr>
              <w:t xml:space="preserve">); evaluación de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 xml:space="preserve"> y pruebas de </w:t>
            </w:r>
            <w:r>
              <w:rPr>
                <w:i/>
                <w:sz w:val="19"/>
              </w:rPr>
              <w:t>Time Travel</w:t>
            </w:r>
            <w:r>
              <w:rPr>
                <w:sz w:val="19"/>
              </w:rPr>
              <w:t xml:space="preserve"> en Iceberg.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Reporte de pruebas de carga (</w:t>
            </w:r>
            <w:r>
              <w:rPr>
                <w:i/>
                <w:sz w:val="19"/>
              </w:rPr>
              <w:t>throughput</w:t>
            </w:r>
            <w:r>
              <w:rPr>
                <w:sz w:val="19"/>
              </w:rPr>
              <w:t xml:space="preserve">/latencia), matriz de confusión y F1-score en NER, y trazas de auditoría por </w:t>
            </w:r>
            <w:r>
              <w:rPr>
                <w:rFonts w:ascii="Consolas" w:hAnsi="Consolas"/>
                <w:sz w:val="19"/>
              </w:rPr>
              <w:t>snapshot_id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Fase 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Evaluación Financiera (FinOps) y Cierre COIL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 xml:space="preserve">Modelado paramétrico de costos en AWS Calculator comparando EMR Graviton2 </w:t>
            </w:r>
            <w:r>
              <w:rPr>
                <w:i/>
                <w:sz w:val="19"/>
              </w:rPr>
              <w:t>Spot</w:t>
            </w:r>
            <w:r>
              <w:rPr>
                <w:sz w:val="19"/>
              </w:rPr>
              <w:t xml:space="preserve"> frente a Glue, Step Functions/Comprehend Medical y licencias COTS; verificación de la </w:t>
            </w:r>
            <w:r>
              <w:rPr>
                <w:b/>
                <w:sz w:val="19"/>
              </w:rPr>
              <w:t>reducción de costos ≥ 70\,%</w:t>
            </w:r>
            <w:r>
              <w:rPr>
                <w:sz w:val="19"/>
              </w:rPr>
              <w:t>; consolidación de la bitácora intercultural COIL y sustentación final.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Modelo financiero TCO/FinOps, informe final de licitación y bitácora de coordinación intercultural COIL completa.</w:t>
            </w:r>
          </w:p>
        </w:tc>
      </w:tr>
    </w:tbl>
    <w:p/>
    <w:p>
      <w:pPr>
        <w:pStyle w:val="Heading3"/>
      </w:pPr>
      <w:r>
        <w:rPr>
          <w:color w:val="2E75B6"/>
        </w:rPr>
        <w:t>4.2. Coordinación Intercultural y Bitácora del Proyecto COIL</w:t>
      </w:r>
    </w:p>
    <w:p>
      <w:pPr>
        <w:jc w:val="both"/>
      </w:pPr>
      <w:r>
        <w:t xml:space="preserve">El carácter binacional e interdisciplinario del </w:t>
      </w:r>
      <w:r>
        <w:rPr>
          <w:b/>
        </w:rPr>
        <w:t>Proyecto COIL</w:t>
      </w:r>
      <w:r>
        <w:t xml:space="preserve"> (</w:t>
      </w:r>
      <w:r>
        <w:rPr>
          <w:i/>
        </w:rPr>
        <w:t>Collaborative Online International Learning</w:t>
      </w:r>
      <w:r>
        <w:t xml:space="preserve">) exige un protocolo formal de gobernanza que integre las competencias del equipo de </w:t>
      </w:r>
      <w:r>
        <w:rPr>
          <w:b/>
        </w:rPr>
        <w:t>Arquitectura de Big Data</w:t>
      </w:r>
      <w:r>
        <w:t xml:space="preserve"> con el equipo de </w:t>
      </w:r>
      <w:r>
        <w:rPr>
          <w:b/>
        </w:rPr>
        <w:t>Metodología de la Investigación</w:t>
      </w:r>
      <w:r>
        <w:t>:</w:t>
      </w:r>
    </w:p>
    <w:p>
      <w:pPr>
        <w:pStyle w:val="ListNumber"/>
      </w:pPr>
      <w:r>
        <w:rPr>
          <w:b/>
        </w:rPr>
        <w:t>Roles y Sinergia Interdisciplinaria:</w:t>
      </w:r>
    </w:p>
    <w:p>
      <w:pPr>
        <w:pStyle w:val="ListBullet"/>
      </w:pPr>
      <w:r>
        <w:rPr>
          <w:i/>
        </w:rPr>
        <w:t>Subequipo de Metodología de la Investigación:</w:t>
      </w:r>
      <w:r>
        <w:t xml:space="preserve"> Lidera la formulación PICO, el diseño de las cadenas booleanas, el proceso de cribado y elegibilidad PRISMA 2020 (284 registros iniciales depurados hasta los 18 estudios clave), la validación epistemológica de las métricas (F1-score ≥ 0,92) y la estandarización bibliográfica.</w:t>
      </w:r>
    </w:p>
    <w:p>
      <w:pPr>
        <w:pStyle w:val="ListBullet"/>
      </w:pPr>
      <w:r>
        <w:rPr>
          <w:i/>
        </w:rPr>
        <w:t>Subequipo de Arquitectura de Big Data:</w:t>
      </w:r>
      <w:r>
        <w:t xml:space="preserve"> Lidera el dimensionamiento del clúster distribuido en AWS para alcanzar las </w:t>
      </w:r>
      <w:r>
        <w:rPr>
          <w:b/>
        </w:rPr>
        <w:t>1.111 órdenes/segundo</w:t>
      </w:r>
      <w:r>
        <w:t xml:space="preserve"> en ventana </w:t>
      </w:r>
      <w:r>
        <w:rPr>
          <w:i/>
        </w:rPr>
        <w:t>batch</w:t>
      </w:r>
      <w:r>
        <w:t xml:space="preserve"> de 3 horas (o </w:t>
      </w:r>
      <w:r>
        <w:rPr>
          <w:b/>
        </w:rPr>
        <w:t>139 órdenes/segundo</w:t>
      </w:r>
      <w:r>
        <w:t xml:space="preserve"> en 24 horas), la arquitectura de los pipelines de Spark NLP y SparkRules, el diseño de tablas Apache Iceberg y el modelado financiero FinOps (ahorro ≥ 70\,%).</w:t>
      </w:r>
    </w:p>
    <w:p>
      <w:pPr>
        <w:pStyle w:val="ListNumber"/>
      </w:pPr>
      <w:r>
        <w:rPr>
          <w:b/>
        </w:rPr>
        <w:t>Protocolo de Comunicación y Sincronización Intercultural:</w:t>
      </w:r>
    </w:p>
    <w:p>
      <w:pPr>
        <w:pStyle w:val="ListBullet"/>
      </w:pPr>
      <w:r>
        <w:t>Sesiones síncronas semanales de alineación técnica y metodológica mediante videoconferencia, alternando husos horarios y utilizando agendas estructuradas previas.</w:t>
      </w:r>
    </w:p>
    <w:p>
      <w:pPr>
        <w:pStyle w:val="ListBullet"/>
      </w:pPr>
      <w:r>
        <w:t>Trabajo asíncrono colaborativo sobre repositorio documental compartido en la nube con control de versiones estricto, garantizando la trazabilidad de los aportes de cada integrante nacional e internacional.</w:t>
      </w:r>
    </w:p>
    <w:p>
      <w:pPr>
        <w:pStyle w:val="ListNumber"/>
      </w:pPr>
      <w:r>
        <w:rPr>
          <w:b/>
        </w:rPr>
        <w:t>Bitácora del Proyecto COIL (Registro de Evidencias):</w:t>
      </w:r>
    </w:p>
    <w:p>
      <w:pPr>
        <w:pStyle w:val="ListBullet"/>
      </w:pPr>
      <w:r>
        <w:t xml:space="preserve">Cada hito semanal se documenta en la </w:t>
      </w:r>
      <w:r>
        <w:rPr>
          <w:b/>
        </w:rPr>
        <w:t>Bitácora Oficial COIL</w:t>
      </w:r>
      <w:r>
        <w:t xml:space="preserve">, registrando: fecha y hora de la sesión, participantes de ambas instituciones, acuerdos técnicos adoptados (por ejemplo, la elección de instancias EC2 Graviton2 </w:t>
      </w:r>
      <w:r>
        <w:rPr>
          <w:i/>
        </w:rPr>
        <w:t>Spot</w:t>
      </w:r>
      <w:r>
        <w:t xml:space="preserve"> sobre AWS Glue tras contrastar la literatura PRISMA), resolución de discrepancias en el cribado de artículos, lecciones aprendidas de la colaboración intercultural y validación cruzada de los entregables antes de su radicación formal.</w:t>
      </w:r>
    </w:p>
    <w:p>
      <w:pPr>
        <w:pStyle w:val="Heading2"/>
      </w:pPr>
      <w:r>
        <w:rPr>
          <w:color w:val="1F4E79"/>
        </w:rPr>
        <w:t>5. Análisis Económico Preliminar y Arquitectura de Referencia en AWS</w:t>
      </w:r>
    </w:p>
    <w:p>
      <w:pPr>
        <w:pStyle w:val="Heading3"/>
      </w:pPr>
      <w:r>
        <w:rPr>
          <w:color w:val="2E75B6"/>
        </w:rPr>
        <w:t>5.1. Justificación Cuantitativa del Ahorro (≥ 70\,%) en AWS frente a Modelos Alternativos</w:t>
      </w:r>
    </w:p>
    <w:p>
      <w:pPr>
        <w:jc w:val="both"/>
      </w:pPr>
      <w:r>
        <w:t xml:space="preserve">Al evaluar el procesamiento diario fijo de </w:t>
      </w:r>
      <w:r>
        <w:rPr>
          <w:b/>
        </w:rPr>
        <w:t>12 millones de órdenes médicas</w:t>
      </w:r>
      <w:r>
        <w:t xml:space="preserve"> en menos de 24 horas, el análisis técnico-económico demuestra de forma concluyente que una arquitectura distribuida por lotes con estado (</w:t>
      </w:r>
      <w:r>
        <w:rPr>
          <w:i/>
        </w:rPr>
        <w:t>stateful batch</w:t>
      </w:r>
      <w:r>
        <w:t xml:space="preserve">) ejecutada con </w:t>
      </w:r>
      <w:r>
        <w:rPr>
          <w:b/>
        </w:rPr>
        <w:t>Apache Spark sobre Amazon EMR</w:t>
      </w:r>
      <w:r>
        <w:t xml:space="preserve"> utilizando instancias </w:t>
      </w:r>
      <w:r>
        <w:rPr>
          <w:b/>
        </w:rPr>
        <w:t>EC2 ARM Graviton2 en modalidad Spot</w:t>
      </w:r>
      <w:r>
        <w:t xml:space="preserve"> logra una </w:t>
      </w:r>
      <w:r>
        <w:rPr>
          <w:b/>
        </w:rPr>
        <w:t>reducción de costos operativos ≥ 70\,%</w:t>
      </w:r>
      <w:r>
        <w:t xml:space="preserve"> (alcanzando entre un </w:t>
      </w:r>
      <w:r>
        <w:rPr>
          <w:b/>
        </w:rPr>
        <w:t>78\,% y un 99\,%</w:t>
      </w:r>
      <w:r>
        <w:t xml:space="preserve"> de ahorro según el comparador) frente a las arquitecturas </w:t>
      </w:r>
      <w:r>
        <w:rPr>
          <w:i/>
        </w:rPr>
        <w:t>Serverless</w:t>
      </w:r>
      <w:r>
        <w:t xml:space="preserve"> basadas en eventos, los trabajos en AWS Glue y los licenciamientos propietarios por transacción [11], [12].</w:t>
      </w:r>
    </w:p>
    <w:p>
      <w:pPr>
        <w:jc w:val="both"/>
      </w:pPr>
      <w:r>
        <w:t xml:space="preserve">El mecanismo causal detrás de esta ventaja económica reside en la </w:t>
      </w:r>
      <w:r>
        <w:rPr>
          <w:b/>
        </w:rPr>
        <w:t>amortización de la sobrecarga de inicialización y transferencia de red</w:t>
      </w:r>
      <w:r>
        <w:t>:</w:t>
      </w:r>
    </w:p>
    <w:p>
      <w:pPr>
        <w:pStyle w:val="ListBullet"/>
      </w:pPr>
      <w:r>
        <w:t xml:space="preserve">En una arquitectura </w:t>
      </w:r>
      <w:r>
        <w:rPr>
          <w:i/>
        </w:rPr>
        <w:t>Serverless</w:t>
      </w:r>
      <w:r>
        <w:t xml:space="preserve"> dirigida por eventos (S3 → Lambda → Step Functions → Comprehend Medical), cada orden médica desencadena transiciones de estado facturadas individualmente, serialización JSON y cobros por bloques de 100 caracteres [11], [24].</w:t>
      </w:r>
    </w:p>
    <w:p>
      <w:pPr>
        <w:pStyle w:val="ListBullet"/>
      </w:pPr>
      <w:r>
        <w:t xml:space="preserve">Por el contrario, en </w:t>
      </w:r>
      <w:r>
        <w:rPr>
          <w:b/>
        </w:rPr>
        <w:t>Amazon EMR</w:t>
      </w:r>
      <w:r>
        <w:t>, el tiempo de aprovisionamiento del clúster (~ 10 minutos) se paga una única vez al inicio del ciclo diario [17]. Una vez activos los contenedores ejecutores de Spark, los modelos de extracción de entidades (</w:t>
      </w:r>
      <w:r>
        <w:rPr>
          <w:b/>
        </w:rPr>
        <w:t>Spark NLP</w:t>
      </w:r>
      <w:r>
        <w:t>) y las tablas de reglas tarifarias (</w:t>
      </w:r>
      <w:r>
        <w:rPr>
          <w:b/>
        </w:rPr>
        <w:t>SparkRules</w:t>
      </w:r>
      <w:r>
        <w:t xml:space="preserve">) se cargan en la memoria RAM distribuida mediante variables </w:t>
      </w:r>
      <w:r>
        <w:rPr>
          <w:i/>
        </w:rPr>
        <w:t>broadcast</w:t>
      </w:r>
      <w:r>
        <w:t xml:space="preserve">, procesando </w:t>
      </w:r>
      <w:r>
        <w:rPr>
          <w:b/>
        </w:rPr>
        <w:t>1.111 órdenes/segundo</w:t>
      </w:r>
      <w:r>
        <w:t xml:space="preserve"> en flujo vectorial continuo durante la ventana nocturna de 3 horas sin latencia de red ni cobros por carácter o por transacción [16], [22].</w:t>
      </w:r>
    </w:p>
    <w:p>
      <w:pPr>
        <w:pStyle w:val="Heading4"/>
      </w:pPr>
      <w:r>
        <w:rPr>
          <w:color w:val="2E75B6"/>
        </w:rPr>
        <w:t>Tabla Comparativa Paramétrica de Costos para 12 Millones de Órdenes Diarias (&lt; 24 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Opción Arquitectónica en AWS / Mercado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Configuración Técnica Estimada para 12 Millones de Órdenes (&lt; 24 h)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Tiempo Estimado de Ejecución y Caudal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Costo Diario Estimado (USD)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Ahorro Relativo de la Opción Recomendada (D) y Viabilidad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Opción A: Serverless + API Cognitiva Gestionada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AWS Step Functions Standard (10 pasos/orden = 120M transiciones a $25/M) + AWS Lambda + Amazon Comprehend Medical (</w:t>
            </w:r>
            <w:r>
              <w:rPr>
                <w:rFonts w:ascii="Consolas" w:hAnsi="Consolas"/>
                <w:sz w:val="19"/>
              </w:rPr>
              <w:t>DetectEntitiesV2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InferRxNorm</w:t>
            </w:r>
            <w:r>
              <w:rPr>
                <w:sz w:val="19"/>
              </w:rPr>
              <w:t>, 500 caracteres/glosa = 60M unidades) [24], [29].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Estrangulado por cuotas (&gt; 24 horas mínimas) [29].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$153.000 USD/día</w:t>
            </w:r>
            <w:r>
              <w:rPr>
                <w:sz w:val="19"/>
              </w:rPr>
              <w:t xml:space="preserve"> ($3.000 Step Functions + $150.000 Comprehend Medical) [24].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Inviable:</w:t>
            </w:r>
            <w:r>
              <w:rPr>
                <w:sz w:val="19"/>
              </w:rPr>
              <w:t xml:space="preserve"> Costo prohibitivo para el Estado y bloqueo idiomático (Comprehend Medical solo soporta inglés) [24].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Opción B: Serverless Optimizado (Express + Contenedores)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Step Functions Express (12M ejecuciones, 10 pasos) + AWS Batch con Fargate Spot ejecutando inferencia NLP ligera + ingesta completa en CloudWatch Logs ($0,50 USD/GB) [29].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8 a 12 horas (~ 280 - 415 órdenes/s).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~ 8.500 USD/día$</w:t>
            </w:r>
            <w:r>
              <w:rPr>
                <w:sz w:val="19"/>
              </w:rPr>
              <w:t xml:space="preserve"> (dominado por CloudWatch Logs y vCPU/GB-s) [29].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Viabilidad Baja:</w:t>
            </w:r>
            <w:r>
              <w:rPr>
                <w:sz w:val="19"/>
              </w:rPr>
              <w:t xml:space="preserve"> Semántica </w:t>
            </w:r>
            <w:r>
              <w:rPr>
                <w:i/>
                <w:sz w:val="19"/>
              </w:rPr>
              <w:t>at-least-once</w:t>
            </w:r>
            <w:r>
              <w:rPr>
                <w:sz w:val="19"/>
              </w:rPr>
              <w:t xml:space="preserve"> arriesga pagos duplicados; difícil trazabilidad unificada de linaje [29].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Opción C: Clearinghouse Propietario / COTS por Transacción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Plataforma comercial empaquetada (tipo TriZetto / Optum CES) con tarifa conservadora de licenciamiento y auditoría de $0,02 USD por orden médica procesada [20].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6 a 12 horas (sujeto a cuellos de botella de replicación RDBMS) [49].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$240.000 USD/día</w:t>
            </w:r>
            <w:r>
              <w:rPr>
                <w:sz w:val="19"/>
              </w:rPr>
              <w:t xml:space="preserve"> ($7,2 millones USD/mes) [20].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Inviable para el Estado:</w:t>
            </w:r>
            <w:r>
              <w:rPr>
                <w:sz w:val="19"/>
              </w:rPr>
              <w:t xml:space="preserve"> Costo lineal perpetuo sin soberanía tecnológica ni propiedad intelectual [15], [20].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Opción D1: ETL Serverless Gestionado (AWS Glue Spark)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sz w:val="19"/>
              </w:rPr>
              <w:t>Trabajo de AWS Glue Spark aprovisionando 100 DPUs durante una ventana de procesamiento de 3 horas ($0,44 USD/DPU-hora) ejecutando Spark NLP + SparkRules [11].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~ 3,0 horas</w:t>
            </w:r>
            <w:r>
              <w:rPr>
                <w:sz w:val="19"/>
              </w:rPr>
              <w:t xml:space="preserve"> (</w:t>
            </w:r>
            <w:r>
              <w:rPr>
                <w:b/>
                <w:sz w:val="19"/>
              </w:rPr>
              <w:t>1.111 órdenes/s</w:t>
            </w:r>
            <w:r>
              <w:rPr>
                <w:sz w:val="19"/>
              </w:rPr>
              <w:t>) [11].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~ 132 - 180 USD/día</w:t>
            </w:r>
            <w:r>
              <w:rPr>
                <w:sz w:val="19"/>
              </w:rPr>
              <w:t xml:space="preserve"> (cómputo DPU + S3 I/O) [11].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b/>
                <w:sz w:val="19"/>
              </w:rPr>
              <w:t>Viabilidad Media-Alta:</w:t>
            </w:r>
            <w:r>
              <w:rPr>
                <w:sz w:val="19"/>
              </w:rPr>
              <w:t xml:space="preserve"> Cero administración de clústeres, pero 2× a 3× más costoso en cómputo puro que EMR Spot y menor control JVM [11].</w:t>
            </w:r>
          </w:p>
        </w:tc>
      </w:tr>
      <w:tr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Opción D2: Clúster Efímero Distribuido en Amazon EMR (Recomendada)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Clúster efímero EMR con 1 nodo maestro </w:t>
            </w:r>
            <w:r>
              <w:rPr>
                <w:rFonts w:ascii="Consolas" w:hAnsi="Consolas"/>
                <w:sz w:val="19"/>
              </w:rPr>
              <w:t>c6g.2xlarge</w:t>
            </w:r>
            <w:r>
              <w:rPr>
                <w:sz w:val="19"/>
              </w:rPr>
              <w:t xml:space="preserve"> On-Demand y 24 nodos trabajadores </w:t>
            </w:r>
            <w:r>
              <w:rPr>
                <w:rFonts w:ascii="Consolas" w:hAnsi="Consolas"/>
                <w:sz w:val="19"/>
              </w:rPr>
              <w:t>c6g.4xlarge</w:t>
            </w:r>
            <w:r>
              <w:rPr>
                <w:sz w:val="19"/>
              </w:rPr>
              <w:t xml:space="preserve"> (ARM Graviton2, 384 vCPUs, 768 GB RAM totales) en mezcla </w:t>
            </w:r>
            <w:r>
              <w:rPr>
                <w:b/>
                <w:sz w:val="19"/>
              </w:rPr>
              <w:t>80\,% Spot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20\,% On-Demand</w:t>
            </w:r>
            <w:r>
              <w:rPr>
                <w:sz w:val="19"/>
              </w:rPr>
              <w:t xml:space="preserve"> ejecutando Spark NLP + SparkRules sobre Apache Iceberg en S3 [11], [26].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2,5 a 3,0 horas</w:t>
            </w:r>
            <w:r>
              <w:rPr>
                <w:sz w:val="19"/>
              </w:rPr>
              <w:t xml:space="preserve"> (incluye 10 min de </w:t>
            </w:r>
            <w:r>
              <w:rPr>
                <w:i/>
                <w:sz w:val="19"/>
              </w:rPr>
              <w:t>bootstrap</w:t>
            </w:r>
            <w:r>
              <w:rPr>
                <w:sz w:val="19"/>
              </w:rPr>
              <w:t xml:space="preserve">; caudal efectivo ≥ </w:t>
            </w:r>
            <w:r>
              <w:rPr>
                <w:b/>
                <w:sz w:val="19"/>
              </w:rPr>
              <w:t>1.111 órdenes/s</w:t>
            </w:r>
            <w:r>
              <w:rPr>
                <w:sz w:val="19"/>
              </w:rPr>
              <w:t>) [11], [17].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~ 45 - 85 USD/día</w:t>
            </w:r>
            <w:r>
              <w:rPr>
                <w:sz w:val="19"/>
              </w:rPr>
              <w:t xml:space="preserve"> en cómputo EMR/EC2 (~ 185 - 260 USD/día incluyendo S3 Iceberg I/O, KMS y Athena) [11].</w:t>
            </w:r>
          </w:p>
        </w:tc>
        <w:tc>
          <w:tcPr>
            <w:tcW w:type="dxa" w:w="1872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Óptima:</w:t>
            </w:r>
            <w:r>
              <w:rPr>
                <w:sz w:val="19"/>
              </w:rPr>
              <w:t xml:space="preserve"> Cumple holgadamente la ventana &lt; 24 h (3 h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) con una </w:t>
            </w:r>
            <w:r>
              <w:rPr>
                <w:b/>
                <w:sz w:val="19"/>
              </w:rPr>
              <w:t>reducción de costos ≥ 70\,%</w:t>
            </w:r>
            <w:r>
              <w:rPr>
                <w:sz w:val="19"/>
              </w:rPr>
              <w:t xml:space="preserve"> (&gt; 95\,% frente a Serverless/COTS) y control total del motor [11], [12].</w:t>
            </w:r>
          </w:p>
        </w:tc>
      </w:tr>
    </w:tbl>
    <w:p/>
    <w:p>
      <w:pPr>
        <w:pStyle w:val="Heading3"/>
      </w:pPr>
      <w:r>
        <w:rPr>
          <w:color w:val="2E75B6"/>
        </w:rPr>
        <w:t>5.2. Diseño Detallado de las Cinco Capas de la Arquitectura de Referencia en AWS</w:t>
      </w:r>
    </w:p>
    <w:p>
      <w:pPr>
        <w:jc w:val="both"/>
      </w:pPr>
      <w:r>
        <w:t xml:space="preserve">Para satisfacer simultáneamente el procesamiento de </w:t>
      </w:r>
      <w:r>
        <w:rPr>
          <w:b/>
        </w:rPr>
        <w:t>12 millones de órdenes médicas</w:t>
      </w:r>
      <w:r>
        <w:t xml:space="preserve"> en menos de 24 horas (</w:t>
      </w:r>
      <w:r>
        <w:rPr>
          <w:b/>
        </w:rPr>
        <w:t>139 órdenes/s</w:t>
      </w:r>
      <w:r>
        <w:t xml:space="preserve"> continuo o </w:t>
      </w:r>
      <w:r>
        <w:rPr>
          <w:b/>
        </w:rPr>
        <w:t>1.111 órdenes/s</w:t>
      </w:r>
      <w:r>
        <w:t xml:space="preserve"> en ventana </w:t>
      </w:r>
      <w:r>
        <w:rPr>
          <w:i/>
        </w:rPr>
        <w:t>batch</w:t>
      </w:r>
      <w:r>
        <w:t xml:space="preserve"> de 3 h), la extracción precisa de glosas clínicas en español con </w:t>
      </w:r>
      <w:r>
        <w:rPr>
          <w:b/>
        </w:rPr>
        <w:t>F1-score ≥ 0,92</w:t>
      </w:r>
      <w:r>
        <w:t>, la clasificación binaria (</w:t>
      </w:r>
      <w:r>
        <w:rPr>
          <w:b/>
        </w:rPr>
        <w:t>Cubre / No cubre</w:t>
      </w:r>
      <w:r>
        <w:t>), la liquidación escalonada (</w:t>
      </w:r>
      <w:r>
        <w:rPr>
          <w:b/>
        </w:rPr>
        <w:t>100\,%, 50\,% o 25\,%</w:t>
      </w:r>
      <w:r>
        <w:t xml:space="preserve">) y la </w:t>
      </w:r>
      <w:r>
        <w:rPr>
          <w:b/>
        </w:rPr>
        <w:t>reducción de costos ≥ 70\,%</w:t>
      </w:r>
      <w:r>
        <w:t xml:space="preserve">, se especifica una </w:t>
      </w:r>
      <w:r>
        <w:rPr>
          <w:b/>
        </w:rPr>
        <w:t>Arquitectura Distribuida de Inteligencia Híbrida sobre un Data Lakehouse Abierto en AWS</w:t>
      </w:r>
      <w:r>
        <w:t xml:space="preserve"> articulada en cinco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Capa de la Arquitectura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Servicios de AWS y Tecnologías Abiertas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Función Específica en la Adjudicación de las 12 Millones de Órdenes</w:t>
            </w:r>
          </w:p>
        </w:tc>
        <w:tc>
          <w:tcPr>
            <w:tcW w:type="dxa" w:w="2340"/>
            <w:shd w:val="clear" w:color="auto" w:fill="1F4E79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Mecanismo de Trazabilidad, Calidad y Eficiencia de Costos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1. Ingesta, Particionamiento y Disparo de Lotes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Amazon S3</w:t>
            </w:r>
            <w:r>
              <w:rPr>
                <w:sz w:val="19"/>
              </w:rPr>
              <w:t xml:space="preserve"> (Zona </w:t>
            </w:r>
            <w:r>
              <w:rPr>
                <w:i/>
                <w:sz w:val="19"/>
              </w:rPr>
              <w:t>Raw/Landing</w:t>
            </w:r>
            <w:r>
              <w:rPr>
                <w:sz w:val="19"/>
              </w:rPr>
              <w:t xml:space="preserve">), </w:t>
            </w:r>
            <w:r>
              <w:rPr>
                <w:b/>
                <w:sz w:val="19"/>
              </w:rPr>
              <w:t>AWS Lambda</w:t>
            </w:r>
            <w:r>
              <w:rPr>
                <w:sz w:val="19"/>
              </w:rPr>
              <w:t xml:space="preserve"> (validación de manifiestos) y </w:t>
            </w:r>
            <w:r>
              <w:rPr>
                <w:b/>
                <w:sz w:val="19"/>
              </w:rPr>
              <w:t>Amazon EventBridge</w:t>
            </w:r>
            <w:r>
              <w:rPr>
                <w:sz w:val="19"/>
              </w:rPr>
              <w:t xml:space="preserve"> [11].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Recibe los archivos masivos de órdenes médicas (JSON, Parquet, CSV, RIPS, FHIR) radicados por las IPS; verifica sumas de control criptográficas (SHA-256) y dispara el aprovisionamiento del clúster efímero EMR [11].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Cada archivo y orden recibe un </w:t>
            </w:r>
            <w:r>
              <w:rPr>
                <w:rFonts w:ascii="Consolas" w:hAnsi="Consolas"/>
                <w:sz w:val="19"/>
              </w:rPr>
              <w:t>ingestion_batch_id</w:t>
            </w:r>
            <w:r>
              <w:rPr>
                <w:sz w:val="19"/>
              </w:rPr>
              <w:t xml:space="preserve"> y un </w:t>
            </w:r>
            <w:r>
              <w:rPr>
                <w:rFonts w:ascii="Consolas" w:hAnsi="Consolas"/>
                <w:sz w:val="19"/>
              </w:rPr>
              <w:t>source_s3_version_id</w:t>
            </w:r>
            <w:r>
              <w:rPr>
                <w:sz w:val="19"/>
              </w:rPr>
              <w:t xml:space="preserve"> inmutables registrados automáticamente en tablas Apache Iceberg mediante Amazon S3 Metadata [32].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2. Extracción Clínica Distribuida (NLP In-Process)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Amazon EMR</w:t>
            </w:r>
            <w:r>
              <w:rPr>
                <w:sz w:val="19"/>
              </w:rPr>
              <w:t xml:space="preserve"> (instancias ARM EC2 </w:t>
            </w:r>
            <w:r>
              <w:rPr>
                <w:rFonts w:ascii="Consolas" w:hAnsi="Consolas"/>
                <w:sz w:val="19"/>
              </w:rPr>
              <w:t>c6g.4xlarge</w:t>
            </w:r>
            <w:r>
              <w:rPr>
                <w:sz w:val="19"/>
              </w:rPr>
              <w:t xml:space="preserve"> Spot/On-Demand), </w:t>
            </w:r>
            <w:r>
              <w:rPr>
                <w:b/>
                <w:sz w:val="19"/>
              </w:rPr>
              <w:t>Apache Spark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Spark NLP</w:t>
            </w:r>
            <w:r>
              <w:rPr>
                <w:sz w:val="19"/>
              </w:rPr>
              <w:t xml:space="preserve"> (modelos clínicos en español con LoRA y </w:t>
            </w:r>
            <w:r>
              <w:rPr>
                <w:rFonts w:ascii="Consolas" w:hAnsi="Consolas"/>
                <w:sz w:val="19"/>
              </w:rPr>
              <w:t>AssertionDLModel</w:t>
            </w:r>
            <w:r>
              <w:rPr>
                <w:sz w:val="19"/>
              </w:rPr>
              <w:t>) [22], [23].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 xml:space="preserve">Parsea la glosa médica no estructurada a razón de </w:t>
            </w:r>
            <w:r>
              <w:rPr>
                <w:b/>
                <w:sz w:val="19"/>
              </w:rPr>
              <w:t>1.111 órdenes/segundo</w:t>
            </w:r>
            <w:r>
              <w:rPr>
                <w:sz w:val="19"/>
              </w:rPr>
              <w:t xml:space="preserve"> en ventana </w:t>
            </w:r>
            <w:r>
              <w:rPr>
                <w:i/>
                <w:sz w:val="19"/>
              </w:rPr>
              <w:t>batch</w:t>
            </w:r>
            <w:r>
              <w:rPr>
                <w:sz w:val="19"/>
              </w:rPr>
              <w:t xml:space="preserve"> de 3 h (o </w:t>
            </w:r>
            <w:r>
              <w:rPr>
                <w:b/>
                <w:sz w:val="19"/>
              </w:rPr>
              <w:t>139 órdenes/segundo</w:t>
            </w:r>
            <w:r>
              <w:rPr>
                <w:sz w:val="19"/>
              </w:rPr>
              <w:t xml:space="preserve"> continuo en 24 h), extrayendo </w:t>
            </w:r>
            <w:r>
              <w:rPr>
                <w:b/>
                <w:sz w:val="19"/>
              </w:rPr>
              <w:t>Paciente, Edad, Medicamento</w:t>
            </w:r>
            <w:r>
              <w:rPr>
                <w:sz w:val="19"/>
              </w:rPr>
              <w:t xml:space="preserve"> (principio activo, concentración, dosis, cantidad) y </w:t>
            </w:r>
            <w:r>
              <w:rPr>
                <w:b/>
                <w:sz w:val="19"/>
              </w:rPr>
              <w:t>Diagnóstico</w:t>
            </w:r>
            <w:r>
              <w:rPr>
                <w:sz w:val="19"/>
              </w:rPr>
              <w:t xml:space="preserve"> con </w:t>
            </w:r>
            <w:r>
              <w:rPr>
                <w:b/>
                <w:sz w:val="19"/>
              </w:rPr>
              <w:t>F1-score ≥ 0,92</w:t>
            </w:r>
            <w:r>
              <w:rPr>
                <w:sz w:val="19"/>
              </w:rPr>
              <w:t>, filtrando negaciones o antecedentes de terceros [23], [35].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Persiste en la tabla léxica (LGD) los índices exactos de caracteres (</w:t>
            </w:r>
            <w:r>
              <w:rPr>
                <w:rFonts w:ascii="Consolas" w:hAnsi="Consolas"/>
                <w:sz w:val="19"/>
              </w:rPr>
              <w:t>char_begin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char_end</w:t>
            </w:r>
            <w:r>
              <w:rPr>
                <w:sz w:val="19"/>
              </w:rPr>
              <w:t xml:space="preserve">), el </w:t>
            </w:r>
            <w:r>
              <w:rPr>
                <w:rFonts w:ascii="Consolas" w:hAnsi="Consolas"/>
                <w:sz w:val="19"/>
              </w:rPr>
              <w:t>chunk_uuid</w:t>
            </w:r>
            <w:r>
              <w:rPr>
                <w:sz w:val="19"/>
              </w:rPr>
              <w:t xml:space="preserve"> y el puntaje de confianza (</w:t>
            </w:r>
            <w:r>
              <w:rPr>
                <w:rFonts w:ascii="Consolas" w:hAnsi="Consolas"/>
                <w:sz w:val="19"/>
              </w:rPr>
              <w:t>confidence_score</w:t>
            </w:r>
            <w:r>
              <w:rPr>
                <w:sz w:val="19"/>
              </w:rPr>
              <w:t>) de cada entidad extraída sin costo por carácter (</w:t>
            </w:r>
            <w:r>
              <w:rPr>
                <w:b/>
                <w:sz w:val="19"/>
              </w:rPr>
              <w:t>reducción de costos ≥ 70\,%</w:t>
            </w:r>
            <w:r>
              <w:rPr>
                <w:sz w:val="19"/>
              </w:rPr>
              <w:t>) [22], [32].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3. Motor Híbrido de Reglas, Cobertura y Liquidación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SparkRules</w:t>
            </w:r>
            <w:r>
              <w:rPr>
                <w:sz w:val="19"/>
              </w:rPr>
              <w:t xml:space="preserve"> (motor DRL estilo Drools y tablas de decisión </w:t>
            </w:r>
            <w:r>
              <w:rPr>
                <w:b/>
                <w:sz w:val="19"/>
              </w:rPr>
              <w:t>DMN 1.3</w:t>
            </w:r>
            <w:r>
              <w:rPr>
                <w:sz w:val="19"/>
              </w:rPr>
              <w:t xml:space="preserve"> sobre Spark) + Validación Ontológica </w:t>
            </w:r>
            <w:r>
              <w:rPr>
                <w:b/>
                <w:sz w:val="19"/>
              </w:rPr>
              <w:t>SHACL</w:t>
            </w:r>
            <w:r>
              <w:rPr>
                <w:sz w:val="19"/>
              </w:rPr>
              <w:t xml:space="preserve"> [16], [32].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Evalúa las entidades extraídas contra el catálogo normativo en memoria (</w:t>
            </w:r>
            <w:r>
              <w:rPr>
                <w:i/>
                <w:sz w:val="19"/>
              </w:rPr>
              <w:t>broadcast join</w:t>
            </w:r>
            <w:r>
              <w:rPr>
                <w:sz w:val="19"/>
              </w:rPr>
              <w:t xml:space="preserve">): clasifica </w:t>
            </w:r>
            <w:r>
              <w:rPr>
                <w:b/>
                <w:sz w:val="19"/>
              </w:rPr>
              <w:t>Cubre / No cubre</w:t>
            </w:r>
            <w:r>
              <w:rPr>
                <w:sz w:val="19"/>
              </w:rPr>
              <w:t>, asigna el porcentaje exacto de reconocimiento (</w:t>
            </w:r>
            <w:r>
              <w:rPr>
                <w:b/>
                <w:sz w:val="19"/>
              </w:rPr>
              <w:t>100\,%, 50\,% o 25\,%</w:t>
            </w:r>
            <w:r>
              <w:rPr>
                <w:sz w:val="19"/>
              </w:rPr>
              <w:t>, o 0\,% si no cubre) y calcula el monto exacto a girar [15], [16].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 xml:space="preserve">Genera automáticamente el vector explicable </w:t>
            </w:r>
            <w:r>
              <w:rPr>
                <w:rFonts w:ascii="Consolas" w:hAnsi="Consolas"/>
                <w:sz w:val="19"/>
              </w:rPr>
              <w:t>adverse_action_notice</w:t>
            </w:r>
            <w:r>
              <w:rPr>
                <w:sz w:val="19"/>
              </w:rPr>
              <w:t xml:space="preserve"> con los códigos de razón (</w:t>
            </w:r>
            <w:r>
              <w:rPr>
                <w:rFonts w:ascii="Consolas" w:hAnsi="Consolas"/>
                <w:sz w:val="19"/>
              </w:rPr>
              <w:t>reason_codes</w:t>
            </w:r>
            <w:r>
              <w:rPr>
                <w:sz w:val="19"/>
              </w:rPr>
              <w:t>) deduplicados y ordenados por prioridad, el hash de la versión de la regla (</w:t>
            </w:r>
            <w:r>
              <w:rPr>
                <w:rFonts w:ascii="Consolas" w:hAnsi="Consolas"/>
                <w:sz w:val="19"/>
              </w:rPr>
              <w:t>rule_version_hash</w:t>
            </w:r>
            <w:r>
              <w:rPr>
                <w:sz w:val="19"/>
              </w:rPr>
              <w:t>) y la validación pre-regla [16].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4. Persistencia Transaccional Lakehouse y Linaje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b/>
                <w:sz w:val="19"/>
              </w:rPr>
              <w:t>Apache Iceberg</w:t>
            </w:r>
            <w:r>
              <w:rPr>
                <w:sz w:val="19"/>
              </w:rPr>
              <w:t xml:space="preserve"> sobre </w:t>
            </w:r>
            <w:r>
              <w:rPr>
                <w:b/>
                <w:sz w:val="19"/>
              </w:rPr>
              <w:t>Amazon S3 Tables</w:t>
            </w:r>
            <w:r>
              <w:rPr>
                <w:sz w:val="19"/>
              </w:rPr>
              <w:t xml:space="preserve">, gobernado por </w:t>
            </w:r>
            <w:r>
              <w:rPr>
                <w:b/>
                <w:sz w:val="19"/>
              </w:rPr>
              <w:t>AWS Glue Data Catalog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AWS Lake Formation</w:t>
            </w:r>
            <w:r>
              <w:rPr>
                <w:sz w:val="19"/>
              </w:rPr>
              <w:t xml:space="preserve"> [14], [26].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Almacena las tablas de extracción cruda (Capa Bronce/Léxica), las entidades validadas (Capa Plata/Semántica) y las actas de liquidación contable (Capa Oro) con garantías transaccionales ACID y durabilidad de 11 nueves [26], [32].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sz w:val="19"/>
              </w:rPr>
              <w:t>El viaje en el tiempo (</w:t>
            </w:r>
            <w:r>
              <w:rPr>
                <w:i/>
                <w:sz w:val="19"/>
              </w:rPr>
              <w:t>Time Travel</w:t>
            </w:r>
            <w:r>
              <w:rPr>
                <w:sz w:val="19"/>
              </w:rPr>
              <w:t xml:space="preserve">) por </w:t>
            </w:r>
            <w:r>
              <w:rPr>
                <w:rFonts w:ascii="Consolas" w:hAnsi="Consolas"/>
                <w:sz w:val="19"/>
              </w:rPr>
              <w:t>snapshot_id</w:t>
            </w:r>
            <w:r>
              <w:rPr>
                <w:sz w:val="19"/>
              </w:rPr>
              <w:t xml:space="preserve"> de Iceberg permite a un auditor externo reconstruir exactamente el estado de los datos, los catálogos tarifarios y las reglas vigentes en el segundo exacto en que se liquidó la orden médica [26].</w:t>
            </w:r>
          </w:p>
        </w:tc>
      </w:tr>
      <w:tr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5. Auditoría, Consultas Analíticas y Giro Directo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b/>
                <w:sz w:val="19"/>
              </w:rPr>
              <w:t>Amazon Redshift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Amazon Athena</w:t>
            </w:r>
            <w:r>
              <w:rPr>
                <w:sz w:val="19"/>
              </w:rPr>
              <w:t xml:space="preserve"> (vistas materializadas Iceberg) y cifrado </w:t>
            </w:r>
            <w:r>
              <w:rPr>
                <w:b/>
                <w:sz w:val="19"/>
              </w:rPr>
              <w:t>AWS KMS</w:t>
            </w:r>
            <w:r>
              <w:rPr>
                <w:sz w:val="19"/>
              </w:rPr>
              <w:t xml:space="preserve"> (SSE-KMS) [14], [45].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Expone los resultados de liquidación (</w:t>
            </w:r>
            <w:r>
              <w:rPr>
                <w:b/>
                <w:sz w:val="19"/>
              </w:rPr>
              <w:t>100\,%, 50\,% o 25\,%</w:t>
            </w:r>
            <w:r>
              <w:rPr>
                <w:sz w:val="19"/>
              </w:rPr>
              <w:t>) a los sistemas financieros de giro directo a clínicas y hospitales, y enruta a bandeja de revisión humana únicamente las órdenes con baja confianza estadística (&lt; 4\,% del volumen) [10], [32].</w:t>
            </w:r>
          </w:p>
        </w:tc>
        <w:tc>
          <w:tcPr>
            <w:tcW w:type="dxa" w:w="2340"/>
            <w:shd w:val="clear" w:color="auto" w:fill="F9FBFD"/>
          </w:tcPr>
          <w:p>
            <w:pPr>
              <w:spacing w:before="60" w:after="60"/>
            </w:pPr>
            <w:r>
              <w:rPr>
                <w:sz w:val="19"/>
              </w:rPr>
              <w:t>Seguridad a nivel de fila (</w:t>
            </w:r>
            <w:r>
              <w:rPr>
                <w:i/>
                <w:sz w:val="19"/>
              </w:rPr>
              <w:t>Row-Level Security</w:t>
            </w:r>
            <w:r>
              <w:rPr>
                <w:sz w:val="19"/>
              </w:rPr>
              <w:t>) y enmascaramiento de columnas (PHI/HIPAA) mediante políticas basadas en etiquetas en Lake Formation; registro inmutable de accesos en AWS CloudTrail [13], [14].</w:t>
            </w:r>
          </w:p>
        </w:tc>
      </w:tr>
    </w:tbl>
    <w:p/>
    <w:p>
      <w:pPr>
        <w:pStyle w:val="Heading2"/>
      </w:pPr>
      <w:r>
        <w:rPr>
          <w:color w:val="1F4E79"/>
        </w:rPr>
        <w:t>6. Referencias Bibliográficas (Formato IEEE)</w:t>
      </w:r>
    </w:p>
    <w:p>
      <w:pPr>
        <w:jc w:val="both"/>
      </w:pPr>
      <w:r>
        <w:t xml:space="preserve">[1] Frontiers in Blockchain, "Blockchain-enabled tokenization for health insurance claims," </w:t>
      </w:r>
      <w:r>
        <w:rPr>
          <w:i/>
        </w:rPr>
        <w:t>Frontiers in Blockchain</w:t>
      </w:r>
      <w:r>
        <w:t>, vol. 9, Art. 1768301, 2026. [En línea]. Disponible en: https://www.frontiersin.org/journals/blockchain/articles/10.3389/fbloc.2026.1768301/full</w:t>
      </w:r>
    </w:p>
    <w:p>
      <w:pPr>
        <w:jc w:val="both"/>
      </w:pPr>
      <w:r>
        <w:t xml:space="preserve">[2] Centers for Medicare &amp; Medicaid Services (CMS), </w:t>
      </w:r>
      <w:r>
        <w:rPr>
          <w:i/>
        </w:rPr>
        <w:t>FY 2027 Justification of Estimates for Appropriations Committees: ClaimsCore &amp; CMS Cloud Modernization</w:t>
      </w:r>
      <w:r>
        <w:t>, U.S. Department of Health and Human Services (HHS), 2026. [En línea]. Disponible en: https://www.cms.gov/files/document/fy-2027-justification-estimates-appropriations-committees.pdf</w:t>
      </w:r>
    </w:p>
    <w:p>
      <w:pPr>
        <w:jc w:val="both"/>
      </w:pPr>
      <w:r>
        <w:t xml:space="preserve">[3] Centers for Medicare &amp; Medicaid Services (CMS), "Common Working File (CWF), Fiscal Intermediary Shared System (FISS), Multi-Carrier System (MCS) &amp; ViPS Medicare System (VMS) Architecture Specifications," </w:t>
      </w:r>
      <w:r>
        <w:rPr>
          <w:i/>
        </w:rPr>
        <w:t>U.S. Federal Contracting Portal (SAM.gov)</w:t>
      </w:r>
      <w:r>
        <w:t>, 2025. [En línea]. Disponible en: https://sam.gov/opp/ebca453b9ff933d21692312c2401d502/view</w:t>
      </w:r>
    </w:p>
    <w:p>
      <w:pPr>
        <w:jc w:val="both"/>
      </w:pPr>
      <w:r>
        <w:t xml:space="preserve">[4] Administradora de los Recursos del Sistema General de Seguridad Social en Salud (ADRES), "Inteligencia artificial: la aliada de la ADRES para auditar las cuentas médicas," </w:t>
      </w:r>
      <w:r>
        <w:rPr>
          <w:i/>
        </w:rPr>
        <w:t>Portal Oficial ADRES Colombia</w:t>
      </w:r>
      <w:r>
        <w:t>, 2025. [En línea]. Disponible en: https://www.adres.gov.co/noticias/inteligencia-artificial-la-aliada-de-adres-para-auditar-cuentas-medicas</w:t>
      </w:r>
    </w:p>
    <w:p>
      <w:pPr>
        <w:jc w:val="both"/>
      </w:pPr>
      <w:r>
        <w:t xml:space="preserve">[5] Department of Health and Social Care (UK), </w:t>
      </w:r>
      <w:r>
        <w:rPr>
          <w:i/>
        </w:rPr>
        <w:t>Independent Review of the NHS Business Services Authority: Final Report and Recommendations</w:t>
      </w:r>
      <w:r>
        <w:t>, GOV.UK, 2024. [En línea]. Disponible en: https://www.gov.uk/government/publications/nhs-business-services-authority-review-report/independent-review-of-the-nhs-business-services-authority-final-report-and-recommendations</w:t>
      </w:r>
    </w:p>
    <w:p>
      <w:pPr>
        <w:jc w:val="both"/>
      </w:pPr>
      <w:r>
        <w:t xml:space="preserve">[6] Fondo Nacional de Salud (Fonasa), </w:t>
      </w:r>
      <w:r>
        <w:rPr>
          <w:i/>
        </w:rPr>
        <w:t>Cuenta Pública Participativa y Modernización de Bonos Electrónicos</w:t>
      </w:r>
      <w:r>
        <w:t>, Gobierno de Chile, 2020–2025. [En línea]. Disponible en: https://www.fonasa.gob.cl/</w:t>
      </w:r>
    </w:p>
    <w:p>
      <w:pPr>
        <w:jc w:val="both"/>
      </w:pPr>
      <w:r>
        <w:t xml:space="preserve">[7] Ministério da Saúde / DATASUS, </w:t>
      </w:r>
      <w:r>
        <w:rPr>
          <w:i/>
        </w:rPr>
        <w:t>Anais II Mostra PET Saúde Digital: Sistemas de Informações Hospitalares (SIH/SUS) e Ambulatoriais (SIA/SUS)</w:t>
      </w:r>
      <w:r>
        <w:t>, Brasil, 2024. [En línea]. Disponible en: https://repositorio.unipampa.edu.br/bitstreams/f0478db0-bb3d-4a5a-97a0-6845b65188e6/download</w:t>
      </w:r>
    </w:p>
    <w:p>
      <w:pPr>
        <w:jc w:val="both"/>
      </w:pPr>
      <w:r>
        <w:t xml:space="preserve">[8] National Library of Medicine, "Healthcare Fraud Data Mining Methods: A Look Back and Look Ahead," </w:t>
      </w:r>
      <w:r>
        <w:rPr>
          <w:i/>
        </w:rPr>
        <w:t>PubMed Central (PMC)</w:t>
      </w:r>
      <w:r>
        <w:t>, PMCID: PMC9013219, 2022. [En línea]. Disponible en: https://pmc.ncbi.nlm.nih.gov/articles/PMC9013219/</w:t>
      </w:r>
    </w:p>
    <w:p>
      <w:pPr>
        <w:jc w:val="both"/>
      </w:pPr>
      <w:r>
        <w:t xml:space="preserve">[9] ProQuest Dissertations, </w:t>
      </w:r>
      <w:r>
        <w:rPr>
          <w:i/>
        </w:rPr>
        <w:t>Bayesian Analytics for Medicare Fraud Detection</w:t>
      </w:r>
      <w:r>
        <w:t>, ProQuest, 2023. [En línea]. Disponible en: https://search.proquest.com/openview/c15f4d3f292a064d84dd9f0aebd59238/1</w:t>
      </w:r>
    </w:p>
    <w:p>
      <w:pPr>
        <w:jc w:val="both"/>
      </w:pPr>
      <w:r>
        <w:t xml:space="preserve">[10] Administradora de los Recursos del Sistema General de Seguridad Social en Salud (ADRES), "ADRES firma alianza con gigantes de la industria tecnológica para auditoría de cuentas médicas," </w:t>
      </w:r>
      <w:r>
        <w:rPr>
          <w:i/>
        </w:rPr>
        <w:t>Portal Oficial ADRES Colombia</w:t>
      </w:r>
      <w:r>
        <w:t>, 2025. [En línea]. Disponible en: https://www.adres.gov.co/noticias/alianza-con-gigantes-de-la-industria-tecnologica-para-auditoria-de-cuentas-medicas</w:t>
      </w:r>
    </w:p>
    <w:p>
      <w:pPr>
        <w:jc w:val="both"/>
      </w:pPr>
      <w:r>
        <w:t>[11] Data Engineering with AWS, "Choosing the Right Tool for Your Data Processing Workload on AWS: EMR vs. Glue vs. Lambda," 2024. [En línea]. Disponible en: https://dataengineeringwithaws.com/posts/aws-emr-glue-lambda-tool-review/</w:t>
      </w:r>
    </w:p>
    <w:p>
      <w:pPr>
        <w:jc w:val="both"/>
      </w:pPr>
      <w:r>
        <w:t xml:space="preserve">[12] Amazon Web Services (AWS), "Doing more with less: Moving from transactional to stateful batch processing on Amazon EMR," </w:t>
      </w:r>
      <w:r>
        <w:rPr>
          <w:i/>
        </w:rPr>
        <w:t>AWS Big Data Blog</w:t>
      </w:r>
      <w:r>
        <w:t>, 2024. [En línea]. Disponible en: https://aws.amazon.com/blogs/big-data/doing-more-with-less-moving-from-transactional-to-stateful-batch-processing/</w:t>
      </w:r>
    </w:p>
    <w:p>
      <w:pPr>
        <w:jc w:val="both"/>
      </w:pPr>
      <w:r>
        <w:t>[13] Databricks &amp; Financial/Healthcare Governance Working Group, "Best Data Governance Platform for Financial Services and Healthcare Lakehouses," 2025. [En línea]. Disponible en: https://answers.databricks.com/data-governance-platform-financial-services-healthcare</w:t>
      </w:r>
    </w:p>
    <w:p>
      <w:pPr>
        <w:jc w:val="both"/>
      </w:pPr>
      <w:r>
        <w:t>[14] Mactores &amp; AWS Partner Network, "Data Warehouse Modernization on AWS for AI-Ready Healthcare Data with Apache Iceberg," 2025. [En línea]. Disponible en: https://mactores.com/what-we-ship/data-warehouse-modernization</w:t>
      </w:r>
    </w:p>
    <w:p>
      <w:pPr>
        <w:jc w:val="both"/>
      </w:pPr>
      <w:r>
        <w:t>[15] Consultorsalud &amp; ADRES, "ADRES lanza el Sistema Inteligente de Auditoría (SIA) soportado por IA en alianza con AWS, High Tech Software y Blend360," 2025–2026. [En línea]. Disponible en: https://www.adres.gov.co/noticias/adres-lanza-el-sistema-inteligente-de-auditoria-soportado</w:t>
      </w:r>
    </w:p>
    <w:p>
      <w:pPr>
        <w:jc w:val="both"/>
      </w:pPr>
      <w:r>
        <w:t xml:space="preserve">[16] V. Khan, "SparkRules: Distributed Rule Engine (Drools DRL &amp; DMN 1.3) on Apache Spark," </w:t>
      </w:r>
      <w:r>
        <w:rPr>
          <w:i/>
        </w:rPr>
        <w:t>GitHub Technical Repository</w:t>
      </w:r>
      <w:r>
        <w:t>, 2025–2026. [En línea]. Disponible en: https://github.com/vaquarkhan/sparkrules</w:t>
      </w:r>
    </w:p>
    <w:p>
      <w:pPr>
        <w:jc w:val="both"/>
      </w:pPr>
      <w:r>
        <w:t>[17] Leadfeeder Engineering, "EMR and Data Processing Power: Amortizing Cluster Bootstrap at Scale," 2023. [En línea]. Disponible en: https://www.leadfeeder.com/blog/marketing-analytics/emr-data-processing/</w:t>
      </w:r>
    </w:p>
    <w:p>
      <w:pPr>
        <w:jc w:val="both"/>
      </w:pPr>
      <w:r>
        <w:t>[18] Administradora de los Recursos del Sistema General de Seguridad Social en Salud (ADRES), "Todo sobre la alianza entre ADRES y Amazon Web Services para auditorías inteligentes," 2025. [En línea]. Disponible en: https://www.adres.gov.co/noticias/auditorias-inteligentes-alianza-con-aws</w:t>
      </w:r>
    </w:p>
    <w:p>
      <w:pPr>
        <w:jc w:val="both"/>
      </w:pPr>
      <w:r>
        <w:t xml:space="preserve">[19] NHS Counter Fraud Authority &amp; NHSBSA, </w:t>
      </w:r>
      <w:r>
        <w:rPr>
          <w:i/>
        </w:rPr>
        <w:t>RTEC Prescriptions Loss Analysis Database on AWS: Data Privacy Impact Assessment</w:t>
      </w:r>
      <w:r>
        <w:t>, UK NHS, 2024. [En línea]. Disponible en: https://cfa.nhs.uk/resources/downloads/documents/corporate-publications/corporate-governance/data-privacy-impact-assessments/NHSCFA_DPIA_-_RTEC_Prescriptions_Loss_Analysis_Database.pdf</w:t>
      </w:r>
    </w:p>
    <w:p>
      <w:pPr>
        <w:jc w:val="both"/>
      </w:pPr>
      <w:r>
        <w:t xml:space="preserve">[20] Cognizant TriZetto, </w:t>
      </w:r>
      <w:r>
        <w:rPr>
          <w:i/>
        </w:rPr>
        <w:t>TriZetto Facets and QNXT Claim Adjudication Architecture &amp; Optimization Products</w:t>
      </w:r>
      <w:r>
        <w:t>, Cognizant Healthcare Technology Solutions, 2025. [En línea]. Disponible en: https://www.cognizant.com/us/en/industries/healthcare-technology-solutions/trizetto/optimization-software-products/facets</w:t>
      </w:r>
    </w:p>
    <w:p>
      <w:pPr>
        <w:jc w:val="both"/>
      </w:pPr>
      <w:r>
        <w:t xml:space="preserve">[21] W. Yurcik, "Third-Party Risks in Healthcare Clearinghouses: The Change Healthcare Ransomware Attack as a Systemic Single Point of Failure," </w:t>
      </w:r>
      <w:r>
        <w:rPr>
          <w:i/>
        </w:rPr>
        <w:t>Federal Reserve Bank of Dallas Research Proceedings</w:t>
      </w:r>
      <w:r>
        <w:t>, 2025. [En línea]. Disponible en: https://www.dallasfed.org/-/media/Documents/research/events/2025/25thirdpartyrisks/25thirdpartyrisks-yurcik</w:t>
      </w:r>
    </w:p>
    <w:p>
      <w:pPr>
        <w:jc w:val="both"/>
      </w:pPr>
      <w:r>
        <w:t xml:space="preserve">[22] V. Kocaman y D. Talby, "Accurate clinical and biomedical Named Entity Recognition at scale," </w:t>
      </w:r>
      <w:r>
        <w:rPr>
          <w:i/>
        </w:rPr>
        <w:t>Software Impacts (Elsevier)</w:t>
      </w:r>
      <w:r>
        <w:t>, vol. 13, Art. 100373, 2022, doi: 10.1016/j.simpa.2022.100373.</w:t>
      </w:r>
    </w:p>
    <w:p>
      <w:pPr>
        <w:jc w:val="both"/>
      </w:pPr>
      <w:r>
        <w:t xml:space="preserve">[23] John Snow Labs Healthcare NLP Research Team, "Comprehensive Assertion Detection Models for Clinical NLP (BioBERT-Based AssertionDLModel in Spark NLP)," </w:t>
      </w:r>
      <w:r>
        <w:rPr>
          <w:i/>
        </w:rPr>
        <w:t>arXiv Preprint</w:t>
      </w:r>
      <w:r>
        <w:t>, arXiv:2503.17425v1, 2025. [En línea]. Disponible en: https://arxiv.org/html/2503.17425v1</w:t>
      </w:r>
    </w:p>
    <w:p>
      <w:pPr>
        <w:jc w:val="both"/>
      </w:pPr>
      <w:r>
        <w:t>[24] Amazon Web Services (AWS) &amp; LiteLLM Documentation, "Amazon Comprehend Medical Pricing and API Operations (</w:t>
      </w:r>
      <w:r>
        <w:rPr>
          <w:rFonts w:ascii="Consolas" w:hAnsi="Consolas"/>
          <w:sz w:val="19"/>
        </w:rPr>
        <w:t>DetectEntitiesV2</w:t>
      </w:r>
      <w:r>
        <w:t xml:space="preserve">, </w:t>
      </w:r>
      <w:r>
        <w:rPr>
          <w:rFonts w:ascii="Consolas" w:hAnsi="Consolas"/>
          <w:sz w:val="19"/>
        </w:rPr>
        <w:t>InferRxNorm</w:t>
      </w:r>
      <w:r>
        <w:t xml:space="preserve">, </w:t>
      </w:r>
      <w:r>
        <w:rPr>
          <w:rFonts w:ascii="Consolas" w:hAnsi="Consolas"/>
          <w:sz w:val="19"/>
        </w:rPr>
        <w:t>InferICD10CM</w:t>
      </w:r>
      <w:r>
        <w:t>)," 2025. [En línea]. Disponible en: https://docs.litellm.ai/docs/pass_through/comprehend_medical</w:t>
      </w:r>
    </w:p>
    <w:p>
      <w:pPr>
        <w:jc w:val="both"/>
      </w:pPr>
      <w:r>
        <w:t xml:space="preserve">[25] V. Kocaman y D. Talby, "Spark NLP: Natural Language Understanding at Scale," </w:t>
      </w:r>
      <w:r>
        <w:rPr>
          <w:i/>
        </w:rPr>
        <w:t>Software Impacts (Elsevier)</w:t>
      </w:r>
      <w:r>
        <w:t>, vol. 8, Art. 100058, 2021, doi: 10.1016/j.simpa.2021.100058.</w:t>
      </w:r>
    </w:p>
    <w:p>
      <w:pPr>
        <w:jc w:val="both"/>
      </w:pPr>
      <w:r>
        <w:t>[26] IntuitionLabs, "Pharma &amp; Healthcare Data Lakehouses: Databricks, Snowflake &amp; Apache Iceberg on Amazon S3," 2025. [En línea]. Disponible en: https://intuitionlabs.ai/articles/pharma-data-lakehouse-databricks-snowflake-iceberg</w:t>
      </w:r>
    </w:p>
    <w:p>
      <w:pPr>
        <w:jc w:val="both"/>
      </w:pPr>
      <w:r>
        <w:t>[27] Holori &amp; CloudBurn, "AWS EC2 Pricing Calculator: ARM Graviton2 (</w:t>
      </w:r>
      <w:r>
        <w:rPr>
          <w:rFonts w:ascii="Consolas" w:hAnsi="Consolas"/>
          <w:sz w:val="19"/>
        </w:rPr>
        <w:t>c6g.4xlarge</w:t>
      </w:r>
      <w:r>
        <w:t>) On-Demand vs. Spot Instances," 2025. [En línea]. Disponible en: https://calculator.holori.com/aws</w:t>
      </w:r>
    </w:p>
    <w:p>
      <w:pPr>
        <w:jc w:val="both"/>
      </w:pPr>
      <w:r>
        <w:t xml:space="preserve">[28] Centers for Medicare &amp; Medicaid Services (CMS), "Common Working File (CWF) Maintenance and Batch SLA Specifications," </w:t>
      </w:r>
      <w:r>
        <w:rPr>
          <w:i/>
        </w:rPr>
        <w:t>SAM.gov</w:t>
      </w:r>
      <w:r>
        <w:t>, 2025. [En línea]. Disponible en: https://sam.gov/opp/ebca453b9ff933d21692312c2401d502/view</w:t>
      </w:r>
    </w:p>
    <w:p>
      <w:pPr>
        <w:jc w:val="both"/>
      </w:pPr>
      <w:r>
        <w:t xml:space="preserve">[29] Amazon Web Services (AWS) &amp; Wring.co, "Building Cost-Effective AWS Step Functions Workflows: Standard vs. Express Pricing and Service Quotas," </w:t>
      </w:r>
      <w:r>
        <w:rPr>
          <w:i/>
        </w:rPr>
        <w:t>AWS Compute Blog</w:t>
      </w:r>
      <w:r>
        <w:t>, 2024–2025. [En línea]. Disponible en: https://aws.amazon.com/blogs/compute/building-cost-effective-aws-step-functions-workflows/</w:t>
      </w:r>
    </w:p>
    <w:p>
      <w:pPr>
        <w:jc w:val="both"/>
      </w:pPr>
      <w:r>
        <w:t xml:space="preserve">[30] Healthcare (MDPI), "Rapid Review of 'No Surprise' Medical Billing and Claims Adjudication in the United States," </w:t>
      </w:r>
      <w:r>
        <w:rPr>
          <w:i/>
        </w:rPr>
        <w:t>Healthcare</w:t>
      </w:r>
      <w:r>
        <w:t>, vol. 11, no. 5, p. 761, 2023. [En línea]. Disponible en: https://www.mdpi.com/2227-9032/11/5/761</w:t>
      </w:r>
    </w:p>
    <w:p>
      <w:pPr>
        <w:jc w:val="both"/>
      </w:pPr>
      <w:r>
        <w:t>[31] NHS England Digital, "Directory of Data Uses and GDPR Register for Electronic Prescription Service (EPS)," 2025. [En línea]. Disponible en: https://digital.nhs.uk/data-and-information/keeping-data-safe-and-benefitting-the-public/gdpr/gdpr-register/directory-of-data-uses</w:t>
      </w:r>
    </w:p>
    <w:p>
      <w:pPr>
        <w:jc w:val="both"/>
      </w:pPr>
      <w:r>
        <w:t xml:space="preserve">[32] Amazon Web Services (AWS), "Semantic Layer, Agentic AI, Ontology Reasoning and Two-Tier Knowledge Graph (LGD/SLGD with SHACL) on Apache Iceberg," </w:t>
      </w:r>
      <w:r>
        <w:rPr>
          <w:i/>
        </w:rPr>
        <w:t>AWS Prescriptive Guidance</w:t>
      </w:r>
      <w:r>
        <w:t>, 2025. [En línea]. Disponible en: https://docs.aws.amazon.com/prescriptive-guidance/latest/semantic-layer-agentic-ai-ontology-reasoning-virtual-knowledge-graph/data-layer.html</w:t>
      </w:r>
    </w:p>
    <w:p>
      <w:pPr>
        <w:jc w:val="both"/>
      </w:pPr>
      <w:r>
        <w:t xml:space="preserve">[33] M. N. Onyango, "Real-Time and Distributed Machine Learning in Health Insurance Fraud Detection using Apache Spark, Kafka, and Flink," </w:t>
      </w:r>
      <w:r>
        <w:rPr>
          <w:i/>
        </w:rPr>
        <w:t>International Journal of Research and Analytical Reviews (IJRAR)</w:t>
      </w:r>
      <w:r>
        <w:t>, Paper IJRAR24B4715, 2024. [En línea]. Disponible en: https://www.ijrar.org/papers/IJRAR24B4715.pdf</w:t>
      </w:r>
    </w:p>
    <w:p>
      <w:pPr>
        <w:jc w:val="both"/>
      </w:pPr>
      <w:r>
        <w:t xml:space="preserve">[34] S. Kulshrestha </w:t>
      </w:r>
      <w:r>
        <w:rPr>
          <w:i/>
        </w:rPr>
        <w:t>et al.</w:t>
      </w:r>
      <w:r>
        <w:t xml:space="preserve">, "Distributed Rule-Enabled Interworking Architecture Based on the Drools/Spark Engine (Dress)," </w:t>
      </w:r>
      <w:r>
        <w:rPr>
          <w:i/>
        </w:rPr>
        <w:t>PubMed Central (PMC)</w:t>
      </w:r>
      <w:r>
        <w:t>, PMCID: PMC9961973, 2023. [En línea]. Disponible en: https://pmc.ncbi.nlm.nih.gov/articles/PMC9961973/</w:t>
      </w:r>
    </w:p>
    <w:p>
      <w:pPr>
        <w:jc w:val="both"/>
      </w:pPr>
      <w:r>
        <w:t xml:space="preserve">[35] K. Seastedt </w:t>
      </w:r>
      <w:r>
        <w:rPr>
          <w:i/>
        </w:rPr>
        <w:t>et al.</w:t>
      </w:r>
      <w:r>
        <w:t xml:space="preserve">, "Extraction of Social Determinants of Health and Clinical Entities from Electronic Health Records Comparing Spark NLP and mSpERT," </w:t>
      </w:r>
      <w:r>
        <w:rPr>
          <w:i/>
        </w:rPr>
        <w:t>PubMed Central (PMC)</w:t>
      </w:r>
      <w:r>
        <w:t>, PMCID: PMC12309507, 2025. [En línea]. Disponible en: https://pmc.ncbi.nlm.nih.gov/articles/PMC12309507/</w:t>
      </w:r>
    </w:p>
    <w:p>
      <w:pPr>
        <w:jc w:val="both"/>
      </w:pPr>
      <w:r>
        <w:t xml:space="preserve">[36] H. Ul Haq, V. Kocaman y D. Talby, "Connecting the dots in clinical document understanding with relation extraction at scale," </w:t>
      </w:r>
      <w:r>
        <w:rPr>
          <w:i/>
        </w:rPr>
        <w:t>Software Impacts (Elsevier)</w:t>
      </w:r>
      <w:r>
        <w:t>, vol. 12, Art. 100294, 2022, doi: 10.48550/arXiv.2201.01405.</w:t>
      </w:r>
    </w:p>
    <w:p>
      <w:pPr>
        <w:jc w:val="both"/>
      </w:pPr>
      <w:r>
        <w:t>[37] Leiden University Scholarly Publications, "Spark NLP: Natural Language Understanding at Scale — Consolidated Preprint and Journal Evaluation," 2022. [En línea]. Disponible en: https://scholarlypublications.universiteitleiden.nl/access/item%3A3277292/view</w:t>
      </w:r>
    </w:p>
    <w:p>
      <w:pPr>
        <w:jc w:val="both"/>
      </w:pPr>
      <w:r>
        <w:t>[38] Consultorsalud, "ADRES elige prototipo de auditoría médica con inteligencia artificial de Amazon Web Services," 2025. [En línea]. Disponible en: https://consultorsalud.com/adres-prototipo-auditoria-medica-ia-amazon/</w:t>
      </w:r>
    </w:p>
    <w:p>
      <w:pPr>
        <w:jc w:val="both"/>
      </w:pPr>
      <w:r>
        <w:t>[39] Revista Hospitalaria &amp; Edición Médica, "El 1 de mayo entra en operación el Sistema Inteligente de Auditoría (SIA) de ADRES para auditar las cuentas médicas de las IPS," 2026. [En línea]. Disponible en: https://revistahospitalaria.org/el-1-de-mayo-entra-en-operacion-el-sistema-inteligente-de-auditoria-sia-de-adres-para-auditar-las-cuentas-medicas-de-las-ips/</w:t>
      </w:r>
    </w:p>
    <w:p>
      <w:pPr>
        <w:jc w:val="both"/>
      </w:pPr>
      <w:r>
        <w:t>[40] Program Integrity Alliance, "Good Luck, ClaimsCore: Modernizing CMS Fee-For-Service COBOL Systems," 2025. [En línea]. Disponible en: https://www.programintegrity.org/articles/good-luck-claimscore</w:t>
      </w:r>
    </w:p>
    <w:p>
      <w:pPr>
        <w:jc w:val="both"/>
      </w:pPr>
      <w:r>
        <w:t xml:space="preserve">[41] NHS Business Services Authority (NHSBSA), </w:t>
      </w:r>
      <w:r>
        <w:rPr>
          <w:i/>
        </w:rPr>
        <w:t>NHSBSA Annual Report and Accounts 2025/26 &amp; Electronic Prescription Service (EPS) Cloud Data Platform Methodology</w:t>
      </w:r>
      <w:r>
        <w:t>, UK Government, 2026. [En línea]. Disponible en: https://www.nhsbsa.nhs.uk/sites/default/files/2026-07/E03621186_NHSBSA%20ARA%2025-26_Accessible.pdf</w:t>
      </w:r>
    </w:p>
    <w:p>
      <w:pPr>
        <w:jc w:val="both"/>
      </w:pPr>
      <w:r>
        <w:t xml:space="preserve">[42] KIE Community, </w:t>
      </w:r>
      <w:r>
        <w:rPr>
          <w:i/>
        </w:rPr>
        <w:t>Drools Rule Engine Documentation: ReteOO and Phreak Algorithms</w:t>
      </w:r>
      <w:r>
        <w:t>, 2025. [En línea]. Disponible en: https://docs.drools.org/latest/drools-docs/drools/rule-engine/index.html</w:t>
      </w:r>
    </w:p>
    <w:p>
      <w:pPr>
        <w:jc w:val="both"/>
      </w:pPr>
      <w:r>
        <w:t xml:space="preserve">[43] International Journal of Emerging Engineering and Technology Research (IJEETR), "Distributed Data Engineering Pipelines for Real-Time Insurance Claims Evaluation," </w:t>
      </w:r>
      <w:r>
        <w:rPr>
          <w:i/>
        </w:rPr>
        <w:t>IJEETR</w:t>
      </w:r>
      <w:r>
        <w:t>, vol. 12, Art. 347, 2024. [En línea]. Disponible en: https://www.ijeetr.com/index.php/ijeetr/article/download/347/325</w:t>
      </w:r>
    </w:p>
    <w:p>
      <w:pPr>
        <w:jc w:val="both"/>
      </w:pPr>
      <w:r>
        <w:t>[44] ResearchGate, "Leveraging Machine Learning to Predict and Reduce Healthcare Claim Denials," 2025. [En línea]. Disponible en: https://www.researchgate.net/publication/388836543_LEVERAGING_MACHINE_LEARNING_TO_PREDICT_AND_REDUCE_HEALTHCARE_CLAIM_DENIALS</w:t>
      </w:r>
    </w:p>
    <w:p>
      <w:pPr>
        <w:jc w:val="both"/>
      </w:pPr>
      <w:r>
        <w:t xml:space="preserve">[45] Amazon Web Services (AWS), "Analyze Amazon S3 clinical annotations at scale with Apache Iceberg materialized views," </w:t>
      </w:r>
      <w:r>
        <w:rPr>
          <w:i/>
        </w:rPr>
        <w:t>AWS Storage Blog</w:t>
      </w:r>
      <w:r>
        <w:t>, 2025. [En línea]. Disponible en: https://aws.amazon.com/blogs/storage/analyze-amazon-s3-annotations-at-scale-with-materialized-views/</w:t>
      </w:r>
    </w:p>
    <w:p>
      <w:pPr>
        <w:jc w:val="both"/>
      </w:pPr>
      <w:r>
        <w:t xml:space="preserve">[46] Amazon Web Services (AWS), "Step Functions Distributed Map – A Serverless Solution for Large-Scale Parallel Data Processing," </w:t>
      </w:r>
      <w:r>
        <w:rPr>
          <w:i/>
        </w:rPr>
        <w:t>AWS News Blog</w:t>
      </w:r>
      <w:r>
        <w:t>, 2023–2025. [En línea]. Disponible en: https://aws.amazon.com/blogs/aws/step-functions-distributed-map-a-serverless-solution-for-large-scale-parallel-data-processing/</w:t>
      </w:r>
    </w:p>
    <w:p>
      <w:pPr>
        <w:jc w:val="both"/>
      </w:pPr>
      <w:r>
        <w:t>[47] Arkangel AI &amp; Consultorsalud, "La ADRES audita con IA (SIA): qué cambia para EPS, IPS y aseguradoras y soberanía tecnológica estatal," 2026. [En línea]. Disponible en: https://arkangel.ai/es/adres-sia-auditoria-ia</w:t>
      </w:r>
    </w:p>
    <w:p>
      <w:pPr>
        <w:jc w:val="both"/>
      </w:pPr>
      <w:r>
        <w:t xml:space="preserve">[48] Biomedical NLP Adaptation Study, "OpenMed NER: Parameter-Efficient Domain-Adaptive Pretraining (DAPT) and Low-Rank Adaptation (LoRA) on BioBERT and BioELECTRA vs. Spark NLP," </w:t>
      </w:r>
      <w:r>
        <w:rPr>
          <w:i/>
        </w:rPr>
        <w:t>arXiv Preprint</w:t>
      </w:r>
      <w:r>
        <w:t>, arXiv:2508.01630v1, 2025. [En línea]. Disponible en: https://arxiv.org/html/2508.01630v1</w:t>
      </w:r>
    </w:p>
    <w:p>
      <w:pPr>
        <w:jc w:val="both"/>
      </w:pPr>
      <w:r>
        <w:t xml:space="preserve">[49] Bradmark Technologies, </w:t>
      </w:r>
      <w:r>
        <w:rPr>
          <w:i/>
        </w:rPr>
        <w:t>Blue Care Network of Michigan: Managing TriZetto Facets Sybase Replication Server Bottlenecks</w:t>
      </w:r>
      <w:r>
        <w:t>, Customer Success Story, 2023. [En línea]. Disponible en: https://www.bradmark.com/techsupport/Bluecare_ss.pdf</w:t>
      </w:r>
    </w:p>
    <w:p>
      <w:pPr>
        <w:jc w:val="both"/>
      </w:pPr>
      <w:r>
        <w:t>[50] Maastricht University &amp; arXiv, "Evaluation and Implementation of Knowledge-Graph Guided Large Language Models in Clinical Auditing," 2025–2026. [En línea]. Disponible en: https://cris.maastrichtuniversity.nl/files/318716874/c9197.pdf</w:t>
      </w:r>
    </w:p>
    <w:p>
      <w:pPr>
        <w:jc w:val="both"/>
      </w:pPr>
      <w:r>
        <w:t xml:space="preserve">[51] UnitedSkill &amp; MindMajix, </w:t>
      </w:r>
      <w:r>
        <w:rPr>
          <w:i/>
        </w:rPr>
        <w:t>TriZetto Facets Batch Architecture, Advanced Batch Framework and Claim Test Pro Technical Guide</w:t>
      </w:r>
      <w:r>
        <w:t>, 2025. [En línea]. Disponible en: https://mindmajix.com/facets-interview-questions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