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TECHNICAL PROPOSAL</w:t>
      </w:r>
    </w:p>
    <w:p>
      <w:pPr>
        <w:pBdr>
          <w:bottom w:val="single" w:color="2E5090" w:sz="8" w:space="8"/>
        </w:pBdr>
        <w:spacing w:after="100"/>
        <w:jc w:val="center"/>
      </w:pPr>
      <w:r>
        <w:rPr>
          <w:rFonts w:ascii="Arial" w:cs="Arial" w:eastAsia="Arial" w:hAnsi="Arial"/>
          <w:color w:val="2E5090"/>
          <w:sz w:val="28"/>
          <w:szCs w:val="28"/>
        </w:rPr>
        <w:t xml:space="preserve">Enterprise Cybersecurity Transformation Program</w:t>
      </w:r>
    </w:p>
    <w:p>
      <w:pPr>
        <w:spacing w:after="600"/>
      </w:pPr>
    </w:p>
    <w:p>
      <w:pPr>
        <w:spacing w:after="100"/>
        <w:jc w:val="center"/>
      </w:pPr>
      <w:r>
        <w:rPr>
          <w:rFonts w:ascii="Arial" w:cs="Arial" w:eastAsia="Arial" w:hAnsi="Arial"/>
          <w:color w:val="555555"/>
          <w:sz w:val="24"/>
          <w:szCs w:val="24"/>
        </w:rPr>
        <w:t xml:space="preserve">Saudi Arabian Enterprise Customer</w:t>
      </w:r>
    </w:p>
    <w:p>
      <w:pPr>
        <w:spacing w:after="100"/>
        <w:jc w:val="center"/>
      </w:pPr>
      <w:r>
        <w:rPr>
          <w:rFonts w:ascii="Arial" w:cs="Arial" w:eastAsia="Arial" w:hAnsi="Arial"/>
          <w:color w:val="555555"/>
          <w:sz w:val="22"/>
          <w:szCs w:val="22"/>
        </w:rPr>
        <w:t xml:space="preserve">200 – 4,000 User Scale | Multi-Branch | Air-Gapped Environment</w:t>
      </w:r>
    </w:p>
    <w:p>
      <w:pPr>
        <w:spacing w:after="400"/>
        <w:jc w:val="center"/>
      </w:pPr>
      <w:r>
        <w:rPr>
          <w:rFonts w:ascii="Arial" w:cs="Arial" w:eastAsia="Arial" w:hAnsi="Arial"/>
          <w:b/>
          <w:bCs/>
          <w:color w:val="2E5090"/>
          <w:sz w:val="22"/>
          <w:szCs w:val="22"/>
        </w:rPr>
        <w:t xml:space="preserve">NCA ECC | NCA CSCC | ISO 27001 | NDMO Aligned</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r>
              <w:rPr>
                <w:rFonts w:ascii="Arial" w:cs="Arial" w:eastAsia="Arial" w:hAnsi="Arial"/>
                <w:b/>
                <w:bCs/>
                <w:sz w:val="20"/>
                <w:szCs w:val="20"/>
              </w:rPr>
              <w:t xml:space="preserve">Document Type:</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Technical Proposal</w:t>
            </w:r>
          </w:p>
        </w:tc>
      </w:tr>
      <w:tr>
        <w:tc>
          <w:tcPr>
            <w:tcW w:type="dxa" w:w="22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2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color w:val="CC0000"/>
                <w:sz w:val="20"/>
                <w:szCs w:val="20"/>
              </w:rPr>
              <w:t xml:space="preserve">CONFIDENTIAL</w:t>
            </w:r>
          </w:p>
        </w:tc>
      </w:tr>
      <w:tr>
        <w:tc>
          <w:tcPr>
            <w:tcW w:type="dxa" w:w="22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May 2026</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b w:val="false"/>
          <w:bCs w:val="false"/>
          <w:sz w:val="22"/>
          <w:szCs w:val="22"/>
        </w:rPr>
        <w:t xml:space="preserve">This Technical Proposal presents a comprehensive cybersecurity transformation architecture for a Saudi Arabian enterprise customer, designed to protect critical information assets across enterprise, highly secured, and air-gapped network environments.</w:t>
      </w:r>
    </w:p>
    <w:p>
      <w:pPr>
        <w:spacing w:after="120"/>
      </w:pPr>
      <w:r>
        <w:rPr>
          <w:rFonts w:ascii="Arial" w:cs="Arial" w:eastAsia="Arial" w:hAnsi="Arial"/>
          <w:b w:val="false"/>
          <w:bCs w:val="false"/>
          <w:sz w:val="22"/>
          <w:szCs w:val="22"/>
        </w:rPr>
        <w:t xml:space="preserve">The proposed solution is architected on security-first principles, incorporating Zero Trust Architecture (ZTA), Defense in Depth, Least Privilege access, and network segmentation as foundational design tenets. The architecture is fully aligned with Saudi National Cybersecurity Authority (NCA) Essential Cybersecurity Controls (ECC), NCA Cloud Security Cybersecurity Controls (CSCC), ISO 27001:2022, and National Data Management Office (NDMO) requirements.</w:t>
      </w:r>
    </w:p>
    <w:p>
      <w:pPr>
        <w:spacing w:after="120"/>
      </w:pPr>
      <w:r>
        <w:rPr>
          <w:rFonts w:ascii="Arial" w:cs="Arial" w:eastAsia="Arial" w:hAnsi="Arial"/>
          <w:b/>
          <w:bCs/>
          <w:sz w:val="22"/>
          <w:szCs w:val="22"/>
        </w:rPr>
        <w:t xml:space="preserve">Key design characteristics include:</w:t>
      </w:r>
    </w:p>
    <w:p>
      <w:pPr>
        <w:pStyle w:val="ListParagraph"/>
        <w:numPr>
          <w:ilvl w:val="0"/>
          <w:numId w:val="2"/>
        </w:numPr>
        <w:spacing w:after="80"/>
      </w:pPr>
      <w:r>
        <w:rPr>
          <w:rFonts w:ascii="Arial" w:cs="Arial" w:eastAsia="Arial" w:hAnsi="Arial"/>
          <w:sz w:val="22"/>
          <w:szCs w:val="22"/>
        </w:rPr>
        <w:t xml:space="preserve">Security-First Architecture: Every design decision prioritizes security posture, with cybersecurity controls embedded at every layer of the infrastructure stack.</w:t>
      </w:r>
    </w:p>
    <w:p>
      <w:pPr>
        <w:pStyle w:val="ListParagraph"/>
        <w:numPr>
          <w:ilvl w:val="0"/>
          <w:numId w:val="2"/>
        </w:numPr>
        <w:spacing w:after="80"/>
      </w:pPr>
      <w:r>
        <w:rPr>
          <w:rFonts w:ascii="Arial" w:cs="Arial" w:eastAsia="Arial" w:hAnsi="Arial"/>
          <w:sz w:val="22"/>
          <w:szCs w:val="22"/>
        </w:rPr>
        <w:t xml:space="preserve">Scalability from 200 to 4,000 Users: The solution is sized for an initial deployment of 200 users with a clear, phased growth path to support 4,000 users across multiple branches within five years.</w:t>
      </w:r>
    </w:p>
    <w:p>
      <w:pPr>
        <w:pStyle w:val="ListParagraph"/>
        <w:numPr>
          <w:ilvl w:val="0"/>
          <w:numId w:val="2"/>
        </w:numPr>
        <w:spacing w:after="80"/>
      </w:pPr>
      <w:r>
        <w:rPr>
          <w:rFonts w:ascii="Arial" w:cs="Arial" w:eastAsia="Arial" w:hAnsi="Arial"/>
          <w:sz w:val="22"/>
          <w:szCs w:val="22"/>
        </w:rPr>
        <w:t xml:space="preserve">Compliance-Focused Design: Complete mapping of technical controls to NCA ECC, NCA CSCC, ISO 27001, and NDMO frameworks ensures regulatory readiness from Day 1.</w:t>
      </w:r>
    </w:p>
    <w:p>
      <w:pPr>
        <w:pStyle w:val="ListParagraph"/>
        <w:numPr>
          <w:ilvl w:val="0"/>
          <w:numId w:val="2"/>
        </w:numPr>
        <w:spacing w:after="80"/>
      </w:pPr>
      <w:r>
        <w:rPr>
          <w:rFonts w:ascii="Arial" w:cs="Arial" w:eastAsia="Arial" w:hAnsi="Arial"/>
          <w:sz w:val="22"/>
          <w:szCs w:val="22"/>
        </w:rPr>
        <w:t xml:space="preserve">Air-Gapped Network Consideration: Dedicated security architecture for the isolated/air-gapped environment with secure media transfer (OPSWAT), offline patching, and physically segregated infrastructure.</w:t>
      </w:r>
    </w:p>
    <w:p>
      <w:pPr>
        <w:pStyle w:val="ListParagraph"/>
        <w:numPr>
          <w:ilvl w:val="0"/>
          <w:numId w:val="2"/>
        </w:numPr>
        <w:spacing w:after="80"/>
      </w:pPr>
      <w:r>
        <w:rPr>
          <w:rFonts w:ascii="Arial" w:cs="Arial" w:eastAsia="Arial" w:hAnsi="Arial"/>
          <w:sz w:val="22"/>
          <w:szCs w:val="22"/>
        </w:rPr>
        <w:t xml:space="preserve">Zero Trust Readiness: Implementation of identity-centric security with continuous verification, micro-segmentation, and least-privilege access controls across all network zones.</w:t>
      </w:r>
    </w:p>
    <w:p>
      <w:pPr>
        <w:spacing w:after="120"/>
      </w:pPr>
      <w:r>
        <w:rPr>
          <w:rFonts w:ascii="Arial" w:cs="Arial" w:eastAsia="Arial" w:hAnsi="Arial"/>
          <w:b w:val="false"/>
          <w:bCs w:val="false"/>
          <w:sz w:val="22"/>
          <w:szCs w:val="22"/>
        </w:rPr>
        <w:t xml:space="preserve">The proposal recommends Fortinet as the strategic vendor for the core security and network infrastructure, leveraging the Fortinet Security Fabric for unified visibility, automated threat response, and simplified management across all three network tiers.</w:t>
      </w:r>
    </w:p>
    <w:p>
      <w:r>
        <w:br w:type="page"/>
      </w:r>
    </w:p>
    <w:p>
      <w:pPr>
        <w:pStyle w:val="Heading1"/>
      </w:pPr>
      <w:r>
        <w:t xml:space="preserve">2. Scope of Work</w:t>
      </w:r>
    </w:p>
    <w:p>
      <w:pPr>
        <w:pStyle w:val="Heading2"/>
      </w:pPr>
      <w:r>
        <w:t xml:space="preserve">2.1 In Scope</w:t>
      </w:r>
    </w:p>
    <w:p>
      <w:pPr>
        <w:spacing w:after="120"/>
      </w:pPr>
      <w:r>
        <w:rPr>
          <w:rFonts w:ascii="Arial" w:cs="Arial" w:eastAsia="Arial" w:hAnsi="Arial"/>
          <w:b w:val="false"/>
          <w:bCs w:val="false"/>
          <w:sz w:val="22"/>
          <w:szCs w:val="22"/>
        </w:rPr>
        <w:t xml:space="preserve">The following areas are within the scope of this cybersecurity transformation program:</w:t>
      </w:r>
    </w:p>
    <w:p>
      <w:pPr>
        <w:pStyle w:val="ListParagraph"/>
        <w:numPr>
          <w:ilvl w:val="0"/>
          <w:numId w:val="2"/>
        </w:numPr>
        <w:spacing w:after="80"/>
      </w:pPr>
      <w:r>
        <w:rPr>
          <w:rFonts w:ascii="Arial" w:cs="Arial" w:eastAsia="Arial" w:hAnsi="Arial"/>
          <w:sz w:val="22"/>
          <w:szCs w:val="22"/>
        </w:rPr>
        <w:t xml:space="preserve">Network Security Architecture: Complete campus and WAN network design with integrated security controls, L3 segmentation using VRFs and VLANs, and trust boundary enforcement.</w:t>
      </w:r>
    </w:p>
    <w:p>
      <w:pPr>
        <w:pStyle w:val="ListParagraph"/>
        <w:numPr>
          <w:ilvl w:val="0"/>
          <w:numId w:val="2"/>
        </w:numPr>
        <w:spacing w:after="80"/>
      </w:pPr>
      <w:r>
        <w:rPr>
          <w:rFonts w:ascii="Arial" w:cs="Arial" w:eastAsia="Arial" w:hAnsi="Arial"/>
          <w:sz w:val="22"/>
          <w:szCs w:val="22"/>
        </w:rPr>
        <w:t xml:space="preserve">Zero Trust Foundation: Identity-centric access model with continuous authentication and authorization, device posture assessment, and micro-segmentation.</w:t>
      </w:r>
    </w:p>
    <w:p>
      <w:pPr>
        <w:pStyle w:val="ListParagraph"/>
        <w:numPr>
          <w:ilvl w:val="0"/>
          <w:numId w:val="2"/>
        </w:numPr>
        <w:spacing w:after="80"/>
      </w:pPr>
      <w:r>
        <w:rPr>
          <w:rFonts w:ascii="Arial" w:cs="Arial" w:eastAsia="Arial" w:hAnsi="Arial"/>
          <w:sz w:val="22"/>
          <w:szCs w:val="22"/>
        </w:rPr>
        <w:t xml:space="preserve">Identity &amp; Access Management (IAM): Centralized identity governance, RBAC, MFA enforcement for all users, and privileged access management (PAM) for administrative accounts.</w:t>
      </w:r>
    </w:p>
    <w:p>
      <w:pPr>
        <w:pStyle w:val="ListParagraph"/>
        <w:numPr>
          <w:ilvl w:val="0"/>
          <w:numId w:val="2"/>
        </w:numPr>
        <w:spacing w:after="80"/>
      </w:pPr>
      <w:r>
        <w:rPr>
          <w:rFonts w:ascii="Arial" w:cs="Arial" w:eastAsia="Arial" w:hAnsi="Arial"/>
          <w:sz w:val="22"/>
          <w:szCs w:val="22"/>
        </w:rPr>
        <w:t xml:space="preserve">Network Access Control (NAC): 802.1X enforcement on all wired and wireless ports with dynamic VLAN assignment and device profiling.</w:t>
      </w:r>
    </w:p>
    <w:p>
      <w:pPr>
        <w:pStyle w:val="ListParagraph"/>
        <w:numPr>
          <w:ilvl w:val="0"/>
          <w:numId w:val="2"/>
        </w:numPr>
        <w:spacing w:after="80"/>
      </w:pPr>
      <w:r>
        <w:rPr>
          <w:rFonts w:ascii="Arial" w:cs="Arial" w:eastAsia="Arial" w:hAnsi="Arial"/>
          <w:sz w:val="22"/>
          <w:szCs w:val="22"/>
        </w:rPr>
        <w:t xml:space="preserve">Next-Generation Firewall (NGFW): Multi-tier firewall deployment for perimeter, distribution, and branch protection with UTM/IPS/Application Control.</w:t>
      </w:r>
    </w:p>
    <w:p>
      <w:pPr>
        <w:pStyle w:val="ListParagraph"/>
        <w:numPr>
          <w:ilvl w:val="0"/>
          <w:numId w:val="2"/>
        </w:numPr>
        <w:spacing w:after="80"/>
      </w:pPr>
      <w:r>
        <w:rPr>
          <w:rFonts w:ascii="Arial" w:cs="Arial" w:eastAsia="Arial" w:hAnsi="Arial"/>
          <w:sz w:val="22"/>
          <w:szCs w:val="22"/>
        </w:rPr>
        <w:t xml:space="preserve">East-West Traffic Inspection: Internal segmentation firewalls (ISFW) for lateral movement prevention between security zones.</w:t>
      </w:r>
    </w:p>
    <w:p>
      <w:pPr>
        <w:pStyle w:val="ListParagraph"/>
        <w:numPr>
          <w:ilvl w:val="0"/>
          <w:numId w:val="2"/>
        </w:numPr>
        <w:spacing w:after="80"/>
      </w:pPr>
      <w:r>
        <w:rPr>
          <w:rFonts w:ascii="Arial" w:cs="Arial" w:eastAsia="Arial" w:hAnsi="Arial"/>
          <w:sz w:val="22"/>
          <w:szCs w:val="22"/>
        </w:rPr>
        <w:t xml:space="preserve">Secure Internet Breakout: Centralized internet edge with full UTM inspection stack, URL filtering, SSL inspection, and DNS security.</w:t>
      </w:r>
    </w:p>
    <w:p>
      <w:pPr>
        <w:pStyle w:val="ListParagraph"/>
        <w:numPr>
          <w:ilvl w:val="0"/>
          <w:numId w:val="2"/>
        </w:numPr>
        <w:spacing w:after="80"/>
      </w:pPr>
      <w:r>
        <w:rPr>
          <w:rFonts w:ascii="Arial" w:cs="Arial" w:eastAsia="Arial" w:hAnsi="Arial"/>
          <w:sz w:val="22"/>
          <w:szCs w:val="22"/>
        </w:rPr>
        <w:t xml:space="preserve">Wireless Security: Enterprise-grade Wi-Fi 6E deployment with WPA3-Enterprise, WIPS, and rogue AP detection.</w:t>
      </w:r>
    </w:p>
    <w:p>
      <w:pPr>
        <w:pStyle w:val="ListParagraph"/>
        <w:numPr>
          <w:ilvl w:val="0"/>
          <w:numId w:val="2"/>
        </w:numPr>
        <w:spacing w:after="80"/>
      </w:pPr>
      <w:r>
        <w:rPr>
          <w:rFonts w:ascii="Arial" w:cs="Arial" w:eastAsia="Arial" w:hAnsi="Arial"/>
          <w:sz w:val="22"/>
          <w:szCs w:val="22"/>
        </w:rPr>
        <w:t xml:space="preserve">Secure WAN/SD-WAN: Encrypted MPLS/Internet WAN connectivity with SD-WAN for branch offices, integrated with NGFW security.</w:t>
      </w:r>
    </w:p>
    <w:p>
      <w:pPr>
        <w:pStyle w:val="ListParagraph"/>
        <w:numPr>
          <w:ilvl w:val="0"/>
          <w:numId w:val="2"/>
        </w:numPr>
        <w:spacing w:after="80"/>
      </w:pPr>
      <w:r>
        <w:rPr>
          <w:rFonts w:ascii="Arial" w:cs="Arial" w:eastAsia="Arial" w:hAnsi="Arial"/>
          <w:sz w:val="22"/>
          <w:szCs w:val="22"/>
        </w:rPr>
        <w:t xml:space="preserve">Centralized Logging and Monitoring: SIEM deployment for real-time event correlation, FortiAnalyzer for log management, and SOAR for automated incident response.</w:t>
      </w:r>
    </w:p>
    <w:p>
      <w:pPr>
        <w:pStyle w:val="ListParagraph"/>
        <w:numPr>
          <w:ilvl w:val="0"/>
          <w:numId w:val="2"/>
        </w:numPr>
        <w:spacing w:after="80"/>
      </w:pPr>
      <w:r>
        <w:rPr>
          <w:rFonts w:ascii="Arial" w:cs="Arial" w:eastAsia="Arial" w:hAnsi="Arial"/>
          <w:sz w:val="22"/>
          <w:szCs w:val="22"/>
        </w:rPr>
        <w:t xml:space="preserve">Secure Remote Access: ZTNA and SSL-VPN for remote workforce with device posture checks and continuous trust evaluation.</w:t>
      </w:r>
    </w:p>
    <w:p>
      <w:pPr>
        <w:pStyle w:val="ListParagraph"/>
        <w:numPr>
          <w:ilvl w:val="0"/>
          <w:numId w:val="2"/>
        </w:numPr>
        <w:spacing w:after="80"/>
      </w:pPr>
      <w:r>
        <w:rPr>
          <w:rFonts w:ascii="Arial" w:cs="Arial" w:eastAsia="Arial" w:hAnsi="Arial"/>
          <w:sz w:val="22"/>
          <w:szCs w:val="22"/>
        </w:rPr>
        <w:t xml:space="preserve">OT/IT Segregation: Purdue Model-aligned segmentation between IT and OT/SCADA networks with dedicated inspection firewalls.</w:t>
      </w:r>
    </w:p>
    <w:p>
      <w:pPr>
        <w:pStyle w:val="ListParagraph"/>
        <w:numPr>
          <w:ilvl w:val="0"/>
          <w:numId w:val="2"/>
        </w:numPr>
        <w:spacing w:after="80"/>
      </w:pPr>
      <w:r>
        <w:rPr>
          <w:rFonts w:ascii="Arial" w:cs="Arial" w:eastAsia="Arial" w:hAnsi="Arial"/>
          <w:sz w:val="22"/>
          <w:szCs w:val="22"/>
        </w:rPr>
        <w:t xml:space="preserve">Air-Gapped Environment Security: Physically isolated network with secure media transfer kiosks (OPSWAT), offline patch management, and dedicated security stack.</w:t>
      </w:r>
    </w:p>
    <w:p>
      <w:pPr>
        <w:pStyle w:val="ListParagraph"/>
        <w:numPr>
          <w:ilvl w:val="0"/>
          <w:numId w:val="2"/>
        </w:numPr>
        <w:spacing w:after="80"/>
      </w:pPr>
      <w:r>
        <w:rPr>
          <w:rFonts w:ascii="Arial" w:cs="Arial" w:eastAsia="Arial" w:hAnsi="Arial"/>
          <w:sz w:val="22"/>
          <w:szCs w:val="22"/>
        </w:rPr>
        <w:t xml:space="preserve">Endpoint Security: EDR deployment across all endpoints with on-premise management capability for air-gapped environments.</w:t>
      </w:r>
    </w:p>
    <w:p>
      <w:pPr>
        <w:pStyle w:val="ListParagraph"/>
        <w:numPr>
          <w:ilvl w:val="0"/>
          <w:numId w:val="2"/>
        </w:numPr>
        <w:spacing w:after="80"/>
      </w:pPr>
      <w:r>
        <w:rPr>
          <w:rFonts w:ascii="Arial" w:cs="Arial" w:eastAsia="Arial" w:hAnsi="Arial"/>
          <w:sz w:val="22"/>
          <w:szCs w:val="22"/>
        </w:rPr>
        <w:t xml:space="preserve">Email Security: Dedicated email security gateway with anti-spam, antivirus, DLP, and encryption capabilities.</w:t>
      </w:r>
    </w:p>
    <w:p>
      <w:pPr>
        <w:pStyle w:val="ListParagraph"/>
        <w:numPr>
          <w:ilvl w:val="0"/>
          <w:numId w:val="2"/>
        </w:numPr>
        <w:spacing w:after="80"/>
      </w:pPr>
      <w:r>
        <w:rPr>
          <w:rFonts w:ascii="Arial" w:cs="Arial" w:eastAsia="Arial" w:hAnsi="Arial"/>
          <w:sz w:val="22"/>
          <w:szCs w:val="22"/>
        </w:rPr>
        <w:t xml:space="preserve">Data Loss Prevention: Endpoint and network DLP for data classification, policy enforcement, and regulatory compliance.</w:t>
      </w:r>
    </w:p>
    <w:p>
      <w:pPr>
        <w:pStyle w:val="Heading2"/>
      </w:pPr>
      <w:r>
        <w:t xml:space="preserve">2.2 Optional / Future Scope</w:t>
      </w:r>
    </w:p>
    <w:p>
      <w:pPr>
        <w:pStyle w:val="ListParagraph"/>
        <w:numPr>
          <w:ilvl w:val="0"/>
          <w:numId w:val="2"/>
        </w:numPr>
        <w:spacing w:after="80"/>
      </w:pPr>
      <w:r>
        <w:rPr>
          <w:rFonts w:ascii="Arial" w:cs="Arial" w:eastAsia="Arial" w:hAnsi="Arial"/>
          <w:sz w:val="22"/>
          <w:szCs w:val="22"/>
        </w:rPr>
        <w:t xml:space="preserve">SOC-as-a-Service / Managed SOC operations</w:t>
      </w:r>
    </w:p>
    <w:p>
      <w:pPr>
        <w:pStyle w:val="ListParagraph"/>
        <w:numPr>
          <w:ilvl w:val="0"/>
          <w:numId w:val="2"/>
        </w:numPr>
        <w:spacing w:after="80"/>
      </w:pPr>
      <w:r>
        <w:rPr>
          <w:rFonts w:ascii="Arial" w:cs="Arial" w:eastAsia="Arial" w:hAnsi="Arial"/>
          <w:sz w:val="22"/>
          <w:szCs w:val="22"/>
        </w:rPr>
        <w:t xml:space="preserve">Extended Detection and Response (XDR) platform consolidation</w:t>
      </w:r>
    </w:p>
    <w:p>
      <w:pPr>
        <w:pStyle w:val="ListParagraph"/>
        <w:numPr>
          <w:ilvl w:val="0"/>
          <w:numId w:val="2"/>
        </w:numPr>
        <w:spacing w:after="80"/>
      </w:pPr>
      <w:r>
        <w:rPr>
          <w:rFonts w:ascii="Arial" w:cs="Arial" w:eastAsia="Arial" w:hAnsi="Arial"/>
          <w:sz w:val="22"/>
          <w:szCs w:val="22"/>
        </w:rPr>
        <w:t xml:space="preserve">Advanced Micro-Segmentation (application-level)</w:t>
      </w:r>
    </w:p>
    <w:p>
      <w:pPr>
        <w:pStyle w:val="ListParagraph"/>
        <w:numPr>
          <w:ilvl w:val="0"/>
          <w:numId w:val="2"/>
        </w:numPr>
        <w:spacing w:after="80"/>
      </w:pPr>
      <w:r>
        <w:rPr>
          <w:rFonts w:ascii="Arial" w:cs="Arial" w:eastAsia="Arial" w:hAnsi="Arial"/>
          <w:sz w:val="22"/>
          <w:szCs w:val="22"/>
        </w:rPr>
        <w:t xml:space="preserve">Threat Hunting program development</w:t>
      </w:r>
    </w:p>
    <w:p>
      <w:pPr>
        <w:pStyle w:val="ListParagraph"/>
        <w:numPr>
          <w:ilvl w:val="0"/>
          <w:numId w:val="2"/>
        </w:numPr>
        <w:spacing w:after="80"/>
      </w:pPr>
      <w:r>
        <w:rPr>
          <w:rFonts w:ascii="Arial" w:cs="Arial" w:eastAsia="Arial" w:hAnsi="Arial"/>
          <w:sz w:val="22"/>
          <w:szCs w:val="22"/>
        </w:rPr>
        <w:t xml:space="preserve">Digital Forensics and Incident Response (DFIR) retainer</w:t>
      </w:r>
    </w:p>
    <w:p>
      <w:pPr>
        <w:pStyle w:val="ListParagraph"/>
        <w:numPr>
          <w:ilvl w:val="0"/>
          <w:numId w:val="2"/>
        </w:numPr>
        <w:spacing w:after="80"/>
      </w:pPr>
      <w:r>
        <w:rPr>
          <w:rFonts w:ascii="Arial" w:cs="Arial" w:eastAsia="Arial" w:hAnsi="Arial"/>
          <w:sz w:val="22"/>
          <w:szCs w:val="22"/>
        </w:rPr>
        <w:t xml:space="preserve">Deception technology (FortiDeceptor)</w:t>
      </w:r>
    </w:p>
    <w:p>
      <w:pPr>
        <w:pStyle w:val="ListParagraph"/>
        <w:numPr>
          <w:ilvl w:val="0"/>
          <w:numId w:val="2"/>
        </w:numPr>
        <w:spacing w:after="80"/>
      </w:pPr>
      <w:r>
        <w:rPr>
          <w:rFonts w:ascii="Arial" w:cs="Arial" w:eastAsia="Arial" w:hAnsi="Arial"/>
          <w:sz w:val="22"/>
          <w:szCs w:val="22"/>
        </w:rPr>
        <w:t xml:space="preserve">Cloud Security Posture Management (CSPM)</w:t>
      </w:r>
    </w:p>
    <w:p>
      <w:pPr>
        <w:pStyle w:val="ListParagraph"/>
        <w:numPr>
          <w:ilvl w:val="0"/>
          <w:numId w:val="2"/>
        </w:numPr>
        <w:spacing w:after="80"/>
      </w:pPr>
      <w:r>
        <w:rPr>
          <w:rFonts w:ascii="Arial" w:cs="Arial" w:eastAsia="Arial" w:hAnsi="Arial"/>
          <w:sz w:val="22"/>
          <w:szCs w:val="22"/>
        </w:rPr>
        <w:t xml:space="preserve">Application Security Testing (SAST/DAST)</w:t>
      </w:r>
    </w:p>
    <w:p>
      <w:r>
        <w:br w:type="page"/>
      </w:r>
    </w:p>
    <w:p>
      <w:pPr>
        <w:pStyle w:val="Heading1"/>
      </w:pPr>
      <w:r>
        <w:t xml:space="preserve">3. High-Level Architecture</w:t>
      </w:r>
    </w:p>
    <w:p>
      <w:pPr>
        <w:spacing w:after="120"/>
      </w:pPr>
      <w:r>
        <w:rPr>
          <w:rFonts w:ascii="Arial" w:cs="Arial" w:eastAsia="Arial" w:hAnsi="Arial"/>
          <w:b w:val="false"/>
          <w:bCs w:val="false"/>
          <w:sz w:val="22"/>
          <w:szCs w:val="22"/>
        </w:rPr>
        <w:t xml:space="preserve">The proposed architecture defines three distinct network tiers, each with dedicated security controls and trust boundaries:</w:t>
      </w:r>
    </w:p>
    <w:p>
      <w:pPr>
        <w:pStyle w:val="Heading2"/>
      </w:pPr>
      <w:r>
        <w:t xml:space="preserve">3.1 Enterprise Network</w:t>
      </w:r>
    </w:p>
    <w:p>
      <w:pPr>
        <w:spacing w:after="120"/>
      </w:pPr>
      <w:r>
        <w:rPr>
          <w:rFonts w:ascii="Arial" w:cs="Arial" w:eastAsia="Arial" w:hAnsi="Arial"/>
          <w:b w:val="false"/>
          <w:bCs w:val="false"/>
          <w:sz w:val="22"/>
          <w:szCs w:val="22"/>
        </w:rPr>
        <w:t xml:space="preserve">The enterprise network serves as the standard business operations environment supporting day-to-day IT services including email, ERP, collaboration, and internet access. This zone connects to the WAN/MPLS backbone and provides managed internet breakout through a dedicated security stack comprising NGFW, IPS, URL filtering, SSL inspection, and DNS security. All users in this zone authenticate through 802.1X/NAC and are subject to RBAC policies enforced by FortiAuthenticator and FortiGate.</w:t>
      </w:r>
    </w:p>
    <w:p>
      <w:pPr>
        <w:pStyle w:val="Heading2"/>
      </w:pPr>
      <w:r>
        <w:t xml:space="preserve">3.2 Highly Secured Network</w:t>
      </w:r>
    </w:p>
    <w:p>
      <w:pPr>
        <w:spacing w:after="120"/>
      </w:pPr>
      <w:r>
        <w:rPr>
          <w:rFonts w:ascii="Arial" w:cs="Arial" w:eastAsia="Arial" w:hAnsi="Arial"/>
          <w:b w:val="false"/>
          <w:bCs w:val="false"/>
          <w:sz w:val="22"/>
          <w:szCs w:val="22"/>
        </w:rPr>
        <w:t xml:space="preserve">The highly secured network zone hosts critical business systems, sensitive databases, and applications requiring enhanced security controls beyond the enterprise baseline. This zone enforces strict east-west inspection through internal segmentation firewalls, mandatory PAM for all administrative access, enhanced logging with dedicated FortiAnalyzer collectors, and DLP policies for all data egress. Access is granted only through authenticated, posture-checked sessions with time-bound privileges.</w:t>
      </w:r>
    </w:p>
    <w:p>
      <w:pPr>
        <w:pStyle w:val="Heading2"/>
      </w:pPr>
      <w:r>
        <w:t xml:space="preserve">3.3 Air-Gapped / Isolated Network</w:t>
      </w:r>
    </w:p>
    <w:p>
      <w:pPr>
        <w:spacing w:after="120"/>
      </w:pPr>
      <w:r>
        <w:rPr>
          <w:rFonts w:ascii="Arial" w:cs="Arial" w:eastAsia="Arial" w:hAnsi="Arial"/>
          <w:b w:val="false"/>
          <w:bCs w:val="false"/>
          <w:sz w:val="22"/>
          <w:szCs w:val="22"/>
        </w:rPr>
        <w:t xml:space="preserve">The air-gapped network is a physically isolated environment with no direct or indirect connectivity to any other network zone or the internet. All data transfer occurs exclusively through OPSWAT MetaDefender Kiosks that perform multi-engine antivirus scanning, data sanitization (CDR), and file type verification. Software updates and patches are delivered through a controlled offline process with integrity verification. This zone has a dedicated, independently managed security stack including FortiGate, FortiSwitch, FortiEDR (on-premise), and FortiAnalyzer.</w:t>
      </w:r>
    </w:p>
    <w:p>
      <w:pPr>
        <w:pStyle w:val="Heading2"/>
      </w:pPr>
      <w:r>
        <w:t xml:space="preserve">3.4 Network Traffic Flow &amp; Segmentation Model</w:t>
      </w:r>
    </w:p>
    <w:p>
      <w:pPr>
        <w:spacing w:after="120"/>
      </w:pPr>
      <w:r>
        <w:rPr>
          <w:rFonts w:ascii="Arial" w:cs="Arial" w:eastAsia="Arial" w:hAnsi="Arial"/>
          <w:b w:val="false"/>
          <w:bCs w:val="false"/>
          <w:sz w:val="22"/>
          <w:szCs w:val="22"/>
        </w:rPr>
        <w:t xml:space="preserve">North-South Traffic: All traffic entering or leaving the enterprise perimeter traverses the internet-edge FortiGate cluster (FG-900G HA pair) with full UTM inspection. Inbound services are published through a dedicated DMZ zone with FortiWeb WAF and reverse proxy protection.</w:t>
      </w:r>
    </w:p>
    <w:p>
      <w:pPr>
        <w:spacing w:after="120"/>
      </w:pPr>
      <w:r>
        <w:rPr>
          <w:rFonts w:ascii="Arial" w:cs="Arial" w:eastAsia="Arial" w:hAnsi="Arial"/>
          <w:b w:val="false"/>
          <w:bCs w:val="false"/>
          <w:sz w:val="22"/>
          <w:szCs w:val="22"/>
        </w:rPr>
        <w:t xml:space="preserve">East-West Traffic: Internal traffic between security zones passes through distribution-layer FortiGate pairs (FG-400F) acting as internal segmentation firewalls (ISFW). Every inter-zone flow is inspected, logged, and policy-enforced. This prevents lateral movement and enforces least-privilege communication between workloads.</w:t>
      </w:r>
    </w:p>
    <w:p>
      <w:pPr>
        <w:spacing w:after="120"/>
      </w:pPr>
      <w:r>
        <w:rPr>
          <w:rFonts w:ascii="Arial" w:cs="Arial" w:eastAsia="Arial" w:hAnsi="Arial"/>
          <w:b w:val="false"/>
          <w:bCs w:val="false"/>
          <w:sz w:val="22"/>
          <w:szCs w:val="22"/>
        </w:rPr>
        <w:t xml:space="preserve">DMZ Architecture: A multi-tier DMZ design separates public-facing services (web, email relay) from internal application servers and databases. The DMZ is bounded by dedicated firewall contexts/VDOMs, and all traffic is proxied through application-layer gateways (FortiWeb, FortiMail).</w:t>
      </w:r>
    </w:p>
    <w:p>
      <w:pPr>
        <w:spacing w:after="120"/>
      </w:pPr>
      <w:r>
        <w:rPr>
          <w:rFonts w:ascii="Arial" w:cs="Arial" w:eastAsia="Arial" w:hAnsi="Arial"/>
          <w:b w:val="false"/>
          <w:bCs w:val="false"/>
          <w:sz w:val="22"/>
          <w:szCs w:val="22"/>
        </w:rPr>
        <w:t xml:space="preserve">Firewall Placement: Firewalls are deployed at five strategic locations: (1) Internet Edge, (2) WAN/MPLS Edge, (3) Distribution/Segmentation layer, (4) OT/IT boundary, and (5) Air-Gap boundary. Each placement enforces a distinct trust boundary.</w:t>
      </w:r>
    </w:p>
    <w:p>
      <w:pPr>
        <w:spacing w:after="120"/>
      </w:pPr>
      <w:r>
        <w:rPr>
          <w:rFonts w:ascii="Arial" w:cs="Arial" w:eastAsia="Arial" w:hAnsi="Arial"/>
          <w:b w:val="false"/>
          <w:bCs w:val="false"/>
          <w:sz w:val="22"/>
          <w:szCs w:val="22"/>
        </w:rPr>
        <w:t xml:space="preserve">NAC Placement: FortiNAC appliances are deployed at the core with visibility into all access-layer switches and APs, enforcing 802.1X authentication and dynamic VLAN assignment at every port.</w:t>
      </w:r>
    </w:p>
    <w:p>
      <w:r>
        <w:br w:type="page"/>
      </w:r>
    </w:p>
    <w:p>
      <w:pPr>
        <w:pStyle w:val="Heading1"/>
      </w:pPr>
      <w:r>
        <w:t xml:space="preserve">4. Detailed Technical Design</w:t>
      </w:r>
    </w:p>
    <w:p>
      <w:pPr>
        <w:pStyle w:val="Heading2"/>
      </w:pPr>
      <w:r>
        <w:t xml:space="preserve">4.1 Campus Architecture</w:t>
      </w:r>
    </w:p>
    <w:p>
      <w:pPr>
        <w:pStyle w:val="Heading3"/>
      </w:pPr>
      <w:r>
        <w:t xml:space="preserve">4.1.1 Core Layer</w:t>
      </w:r>
    </w:p>
    <w:p>
      <w:pPr>
        <w:spacing w:after="120"/>
      </w:pPr>
      <w:r>
        <w:rPr>
          <w:rFonts w:ascii="Arial" w:cs="Arial" w:eastAsia="Arial" w:hAnsi="Arial"/>
          <w:b w:val="false"/>
          <w:bCs w:val="false"/>
          <w:sz w:val="22"/>
          <w:szCs w:val="22"/>
        </w:rPr>
        <w:t xml:space="preserve">The core layer provides high-speed, non-blocking switching fabric using FortiSwitch-1048G (48x 10G SFP+) switches in a redundant pair configuration. The core connects distribution switches, data center servers, and security appliances. All core links are aggregated (LACP) and routed (OSPF/BGP) for fast convergence and deterministic failover.</w:t>
      </w:r>
    </w:p>
    <w:p>
      <w:pPr>
        <w:pStyle w:val="Heading3"/>
      </w:pPr>
      <w:r>
        <w:t xml:space="preserve">4.1.2 Distribution Layer</w:t>
      </w:r>
    </w:p>
    <w:p>
      <w:pPr>
        <w:spacing w:after="120"/>
      </w:pPr>
      <w:r>
        <w:rPr>
          <w:rFonts w:ascii="Arial" w:cs="Arial" w:eastAsia="Arial" w:hAnsi="Arial"/>
          <w:b w:val="false"/>
          <w:bCs w:val="false"/>
          <w:sz w:val="22"/>
          <w:szCs w:val="22"/>
        </w:rPr>
        <w:t xml:space="preserve">Distribution switches aggregate access-layer traffic and enforce VLAN/VRF boundaries. FortiGate-400F internal segmentation firewalls (ISFW) are deployed at this layer to inspect all east-west traffic between VLANs. Each building or floor aggregation point connects to the distribution via 10G uplinks.</w:t>
      </w:r>
    </w:p>
    <w:p>
      <w:pPr>
        <w:pStyle w:val="Heading3"/>
      </w:pPr>
      <w:r>
        <w:t xml:space="preserve">4.1.3 Access Layer</w:t>
      </w:r>
    </w:p>
    <w:p>
      <w:pPr>
        <w:spacing w:after="120"/>
      </w:pPr>
      <w:r>
        <w:rPr>
          <w:rFonts w:ascii="Arial" w:cs="Arial" w:eastAsia="Arial" w:hAnsi="Arial"/>
          <w:b w:val="false"/>
          <w:bCs w:val="false"/>
          <w:sz w:val="22"/>
          <w:szCs w:val="22"/>
        </w:rPr>
        <w:t xml:space="preserve">Access-layer switches (FortiSwitch-248E-FPOE / FortiSwitch-124F-FPOE) provide user and device connectivity with 802.3af/at PoE+ for wireless APs, IP phones, and cameras. Each port enforces 802.1X authentication through FortiNAC, with dynamic VLAN assignment based on user role, device type, and security posture.</w:t>
      </w:r>
    </w:p>
    <w:p>
      <w:pPr>
        <w:pStyle w:val="Heading2"/>
      </w:pPr>
      <w:r>
        <w:t xml:space="preserve">4.2 Security Architecture</w:t>
      </w:r>
    </w:p>
    <w:p>
      <w:pPr>
        <w:pStyle w:val="Heading3"/>
      </w:pPr>
      <w:r>
        <w:t xml:space="preserve">4.2.1 Next-Generation Firewall (NGFW)</w:t>
      </w:r>
    </w:p>
    <w:p>
      <w:pPr>
        <w:spacing w:after="120"/>
      </w:pPr>
      <w:r>
        <w:rPr>
          <w:rFonts w:ascii="Arial" w:cs="Arial" w:eastAsia="Arial" w:hAnsi="Arial"/>
          <w:b w:val="false"/>
          <w:bCs w:val="false"/>
          <w:sz w:val="22"/>
          <w:szCs w:val="22"/>
        </w:rPr>
        <w:t xml:space="preserve">FortiGate NGFWs are deployed across all trust boundaries with unified threat protection (UTP) including IPS, antivirus, application control, URL filtering, DNS filtering, SSL inspection, and anti-spam. The multi-tier deployment uses purpose-sized appliances: FG-1800F for DC core, FG-900G for internet edge, FG-400F for distribution/segmentation, and FG-120G for branch offices.</w:t>
      </w:r>
    </w:p>
    <w:p>
      <w:pPr>
        <w:pStyle w:val="Heading3"/>
      </w:pPr>
      <w:r>
        <w:t xml:space="preserve">4.2.2 Intrusion Prevention System (IPS)</w:t>
      </w:r>
    </w:p>
    <w:p>
      <w:pPr>
        <w:spacing w:after="120"/>
      </w:pPr>
      <w:r>
        <w:rPr>
          <w:rFonts w:ascii="Arial" w:cs="Arial" w:eastAsia="Arial" w:hAnsi="Arial"/>
          <w:b w:val="false"/>
          <w:bCs w:val="false"/>
          <w:sz w:val="22"/>
          <w:szCs w:val="22"/>
        </w:rPr>
        <w:t xml:space="preserve">IPS is integrated within FortiGate NGFWs at every trust boundary, leveraging FortiGuard real-time threat intelligence for signature updates. IPS operates in inline blocking mode for known threats and detection mode for anomalous traffic, with tuned policies per zone.</w:t>
      </w:r>
    </w:p>
    <w:p>
      <w:pPr>
        <w:pStyle w:val="Heading3"/>
      </w:pPr>
      <w:r>
        <w:t xml:space="preserve">4.2.3 Web Application Firewall (WAF)</w:t>
      </w:r>
    </w:p>
    <w:p>
      <w:pPr>
        <w:spacing w:after="120"/>
      </w:pPr>
      <w:r>
        <w:rPr>
          <w:rFonts w:ascii="Arial" w:cs="Arial" w:eastAsia="Arial" w:hAnsi="Arial"/>
          <w:b w:val="false"/>
          <w:bCs w:val="false"/>
          <w:sz w:val="22"/>
          <w:szCs w:val="22"/>
        </w:rPr>
        <w:t xml:space="preserve">FortiWeb-100F appliances protect web-facing applications with OWASP Top 10 coverage, bot mitigation, API protection, and machine learning-based anomaly detection. Deployed in HA pair in the DMZ, inline with all HTTP/HTTPS traffic to published services.</w:t>
      </w:r>
    </w:p>
    <w:p>
      <w:pPr>
        <w:pStyle w:val="Heading3"/>
      </w:pPr>
      <w:r>
        <w:t xml:space="preserve">4.2.4 Data Loss Prevention (DLP)</w:t>
      </w:r>
    </w:p>
    <w:p>
      <w:pPr>
        <w:spacing w:after="120"/>
      </w:pPr>
      <w:r>
        <w:rPr>
          <w:rFonts w:ascii="Arial" w:cs="Arial" w:eastAsia="Arial" w:hAnsi="Arial"/>
          <w:b w:val="false"/>
          <w:bCs w:val="false"/>
          <w:sz w:val="22"/>
          <w:szCs w:val="22"/>
        </w:rPr>
        <w:t xml:space="preserve">FortiDLP provides endpoint-level data protection with content inspection, data classification, and policy enforcement for data at rest, in motion, and in use. Integrated with FortiGate network DLP for comprehensive coverage. Policies enforce NDMO data classification requirements.</w:t>
      </w:r>
    </w:p>
    <w:p>
      <w:pPr>
        <w:pStyle w:val="Heading3"/>
      </w:pPr>
      <w:r>
        <w:t xml:space="preserve">4.2.5 Network Access Control (NAC)</w:t>
      </w:r>
    </w:p>
    <w:p>
      <w:pPr>
        <w:spacing w:after="120"/>
      </w:pPr>
      <w:r>
        <w:rPr>
          <w:rFonts w:ascii="Arial" w:cs="Arial" w:eastAsia="Arial" w:hAnsi="Arial"/>
          <w:b w:val="false"/>
          <w:bCs w:val="false"/>
          <w:sz w:val="22"/>
          <w:szCs w:val="22"/>
        </w:rPr>
        <w:t xml:space="preserve">FortiNAC-CA-500F provides centralized NAC enforcement supporting up to 15,000 endpoints. All wired and wireless ports enforce 802.1X with RADIUS authentication against FortiAuthenticator. Non-compliant devices are quarantined to a remediation VLAN. Device profiling and IoT fingerprinting enable automated policy assignment.</w:t>
      </w:r>
    </w:p>
    <w:p>
      <w:pPr>
        <w:pStyle w:val="Heading3"/>
      </w:pPr>
      <w:r>
        <w:t xml:space="preserve">4.2.6 SASE / ZTNA</w:t>
      </w:r>
    </w:p>
    <w:p>
      <w:pPr>
        <w:spacing w:after="120"/>
      </w:pPr>
      <w:r>
        <w:rPr>
          <w:rFonts w:ascii="Arial" w:cs="Arial" w:eastAsia="Arial" w:hAnsi="Arial"/>
          <w:b w:val="false"/>
          <w:bCs w:val="false"/>
          <w:sz w:val="22"/>
          <w:szCs w:val="22"/>
        </w:rPr>
        <w:t xml:space="preserve">FortiSASE delivers cloud-based security services (SWG, CASB, ZTNA, DNS security) for remote and mobile users. FortiClient ZTNA agents enforce device posture checks and provide per-application tunnel access, eliminating traditional VPN over-provisioning. This architecture supports the shift to a Zero Trust access model.</w:t>
      </w:r>
    </w:p>
    <w:p>
      <w:pPr>
        <w:pStyle w:val="Heading3"/>
      </w:pPr>
      <w:r>
        <w:t xml:space="preserve">4.2.7 Privileged Access Management (PAM)</w:t>
      </w:r>
    </w:p>
    <w:p>
      <w:pPr>
        <w:spacing w:after="120"/>
      </w:pPr>
      <w:r>
        <w:rPr>
          <w:rFonts w:ascii="Arial" w:cs="Arial" w:eastAsia="Arial" w:hAnsi="Arial"/>
          <w:b w:val="false"/>
          <w:bCs w:val="false"/>
          <w:sz w:val="22"/>
          <w:szCs w:val="22"/>
        </w:rPr>
        <w:t xml:space="preserve">FortiPAM-1000G provides privileged session management with session recording, credential vaulting, and just-in-time access for administrative sessions. All access to critical infrastructure (firewalls, switches, servers, databases) is brokered through FortiPAM with full audit trail.</w:t>
      </w:r>
    </w:p>
    <w:p>
      <w:pPr>
        <w:pStyle w:val="Heading3"/>
      </w:pPr>
      <w:r>
        <w:t xml:space="preserve">4.2.8 Identity &amp; Access Management (IAM)</w:t>
      </w:r>
    </w:p>
    <w:p>
      <w:pPr>
        <w:spacing w:after="120"/>
      </w:pPr>
      <w:r>
        <w:rPr>
          <w:rFonts w:ascii="Arial" w:cs="Arial" w:eastAsia="Arial" w:hAnsi="Arial"/>
          <w:b w:val="false"/>
          <w:bCs w:val="false"/>
          <w:sz w:val="22"/>
          <w:szCs w:val="22"/>
        </w:rPr>
        <w:t xml:space="preserve">FortiAuthenticator provides centralized RADIUS/LDAP/SAML authentication services integrated with Active Directory. It serves as the policy decision point for NAC, VPN, and ZTNA authentication, enforcing MFA via FortiToken for all users.</w:t>
      </w:r>
    </w:p>
    <w:p>
      <w:pPr>
        <w:pStyle w:val="Heading3"/>
      </w:pPr>
      <w:r>
        <w:t xml:space="preserve">4.2.9 Email Security</w:t>
      </w:r>
    </w:p>
    <w:p>
      <w:pPr>
        <w:spacing w:after="120"/>
      </w:pPr>
      <w:r>
        <w:rPr>
          <w:rFonts w:ascii="Arial" w:cs="Arial" w:eastAsia="Arial" w:hAnsi="Arial"/>
          <w:b w:val="false"/>
          <w:bCs w:val="false"/>
          <w:sz w:val="22"/>
          <w:szCs w:val="22"/>
        </w:rPr>
        <w:t xml:space="preserve">FortiMail-200F appliances deploy in HA mode as the email security gateway, providing anti-spam, antivirus, DLP, identity-based encryption, and virus outbreak protection. Positioned in the DMZ for inbound/outbound mail scanning.</w:t>
      </w:r>
    </w:p>
    <w:p>
      <w:pPr>
        <w:pStyle w:val="Heading3"/>
      </w:pPr>
      <w:r>
        <w:t xml:space="preserve">4.2.10 Endpoint Security (EDR/XDR)</w:t>
      </w:r>
    </w:p>
    <w:p>
      <w:pPr>
        <w:spacing w:after="120"/>
      </w:pPr>
      <w:r>
        <w:rPr>
          <w:rFonts w:ascii="Arial" w:cs="Arial" w:eastAsia="Arial" w:hAnsi="Arial"/>
          <w:b w:val="false"/>
          <w:bCs w:val="false"/>
          <w:sz w:val="22"/>
          <w:szCs w:val="22"/>
        </w:rPr>
        <w:t xml:space="preserve">FortiEDR provides endpoint detection and response with real-time threat prevention, automated response, and forensic investigation capabilities. The on-premise deployment model supports air-gapped environments. FortiClient provides unified endpoint agent with VPN, ZTNA, and vulnerability scanning.</w:t>
      </w:r>
    </w:p>
    <w:p>
      <w:pPr>
        <w:pStyle w:val="Heading3"/>
      </w:pPr>
      <w:r>
        <w:t xml:space="preserve">4.2.11 SIEM &amp; SOAR</w:t>
      </w:r>
    </w:p>
    <w:p>
      <w:pPr>
        <w:spacing w:after="120"/>
      </w:pPr>
      <w:r>
        <w:rPr>
          <w:rFonts w:ascii="Arial" w:cs="Arial" w:eastAsia="Arial" w:hAnsi="Arial"/>
          <w:b w:val="false"/>
          <w:bCs w:val="false"/>
          <w:sz w:val="22"/>
          <w:szCs w:val="22"/>
        </w:rPr>
        <w:t xml:space="preserve">FortiSIEM-2200G provides real-time event correlation, threat detection, and compliance reporting. FortiSIEM collectors (FSM-500G) are deployed at remote sites for distributed log collection. FortiSOAR Enterprise provides security orchestration with automated playbooks for incident response, enrichment, and remediation workflows.</w:t>
      </w:r>
    </w:p>
    <w:p>
      <w:pPr>
        <w:pStyle w:val="Heading3"/>
      </w:pPr>
      <w:r>
        <w:t xml:space="preserve">4.2.12 OT Security</w:t>
      </w:r>
    </w:p>
    <w:p>
      <w:pPr>
        <w:spacing w:after="120"/>
      </w:pPr>
      <w:r>
        <w:rPr>
          <w:rFonts w:ascii="Arial" w:cs="Arial" w:eastAsia="Arial" w:hAnsi="Arial"/>
          <w:b w:val="false"/>
          <w:bCs w:val="false"/>
          <w:sz w:val="22"/>
          <w:szCs w:val="22"/>
        </w:rPr>
        <w:t xml:space="preserve">Nozomi Networks Guardian provides passive OT network monitoring, asset discovery, and anomaly detection for ICS/SCADA environments. A dedicated FortiGate pair enforces the IT/OT boundary in alignment with the Purdue Model (Level 3.5 DMZ).</w:t>
      </w:r>
    </w:p>
    <w:p>
      <w:pPr>
        <w:pStyle w:val="Heading3"/>
      </w:pPr>
      <w:r>
        <w:t xml:space="preserve">4.2.13 Air-Gap Media Security (OPSWAT)</w:t>
      </w:r>
    </w:p>
    <w:p>
      <w:pPr>
        <w:spacing w:after="120"/>
      </w:pPr>
      <w:r>
        <w:rPr>
          <w:rFonts w:ascii="Arial" w:cs="Arial" w:eastAsia="Arial" w:hAnsi="Arial"/>
          <w:b w:val="false"/>
          <w:bCs w:val="false"/>
          <w:sz w:val="22"/>
          <w:szCs w:val="22"/>
        </w:rPr>
        <w:t xml:space="preserve">OPSWAT MetaDefender Kiosk provides the sole approved mechanism for data transfer into and out of the air-gapped network. Each kiosk performs multi-engine scanning (30+ AV engines), Content Disarm and Reconstruction (CDR), file type verification, and data sanitization. Four kiosks are deployed at controlled access points.</w:t>
      </w:r>
    </w:p>
    <w:p>
      <w:pPr>
        <w:pStyle w:val="Heading2"/>
      </w:pPr>
      <w:r>
        <w:t xml:space="preserve">4.3 Identity Security</w:t>
      </w:r>
    </w:p>
    <w:p>
      <w:pPr>
        <w:pStyle w:val="ListParagraph"/>
        <w:numPr>
          <w:ilvl w:val="0"/>
          <w:numId w:val="2"/>
        </w:numPr>
        <w:spacing w:after="80"/>
      </w:pPr>
      <w:r>
        <w:rPr>
          <w:rFonts w:ascii="Arial" w:cs="Arial" w:eastAsia="Arial" w:hAnsi="Arial"/>
          <w:sz w:val="22"/>
          <w:szCs w:val="22"/>
        </w:rPr>
        <w:t xml:space="preserve">RBAC: Role-based access control enforced at network (VLAN/VRF), application, and data layers. Users are assigned to security groups in AD, mapped to FortiGate policies and NAC profiles.</w:t>
      </w:r>
    </w:p>
    <w:p>
      <w:pPr>
        <w:pStyle w:val="ListParagraph"/>
        <w:numPr>
          <w:ilvl w:val="0"/>
          <w:numId w:val="2"/>
        </w:numPr>
        <w:spacing w:after="80"/>
      </w:pPr>
      <w:r>
        <w:rPr>
          <w:rFonts w:ascii="Arial" w:cs="Arial" w:eastAsia="Arial" w:hAnsi="Arial"/>
          <w:sz w:val="22"/>
          <w:szCs w:val="22"/>
        </w:rPr>
        <w:t xml:space="preserve">MFA: FortiToken Mobile enforces multi-factor authentication for all VPN, ZTNA, PAM, and administrative access. OTP tokens provide a fallback for air-gapped environments.</w:t>
      </w:r>
    </w:p>
    <w:p>
      <w:pPr>
        <w:pStyle w:val="ListParagraph"/>
        <w:numPr>
          <w:ilvl w:val="0"/>
          <w:numId w:val="2"/>
        </w:numPr>
        <w:spacing w:after="80"/>
      </w:pPr>
      <w:r>
        <w:rPr>
          <w:rFonts w:ascii="Arial" w:cs="Arial" w:eastAsia="Arial" w:hAnsi="Arial"/>
          <w:sz w:val="22"/>
          <w:szCs w:val="22"/>
        </w:rPr>
        <w:t xml:space="preserve">802.1X: All wired and wireless ports enforce 802.1X (EAP-TLS preferred, PEAP-MSCHAPv2 supported). FortiNAC acts as the RADIUS proxy with FortiAuthenticator as the authentication backend.</w:t>
      </w:r>
    </w:p>
    <w:p>
      <w:pPr>
        <w:pStyle w:val="ListParagraph"/>
        <w:numPr>
          <w:ilvl w:val="0"/>
          <w:numId w:val="2"/>
        </w:numPr>
        <w:spacing w:after="80"/>
      </w:pPr>
      <w:r>
        <w:rPr>
          <w:rFonts w:ascii="Arial" w:cs="Arial" w:eastAsia="Arial" w:hAnsi="Arial"/>
          <w:sz w:val="22"/>
          <w:szCs w:val="22"/>
        </w:rPr>
        <w:t xml:space="preserve">AAA: Centralized Authentication, Authorization, and Accounting through FortiAuthenticator integrated with Active Directory, providing unified identity for all access decisions.</w:t>
      </w:r>
    </w:p>
    <w:p>
      <w:pPr>
        <w:pStyle w:val="Heading2"/>
      </w:pPr>
      <w:r>
        <w:t xml:space="preserve">4.4 Network Segmentation</w:t>
      </w:r>
    </w:p>
    <w:p>
      <w:pPr>
        <w:pStyle w:val="ListParagraph"/>
        <w:numPr>
          <w:ilvl w:val="0"/>
          <w:numId w:val="2"/>
        </w:numPr>
        <w:spacing w:after="80"/>
      </w:pPr>
      <w:r>
        <w:rPr>
          <w:rFonts w:ascii="Arial" w:cs="Arial" w:eastAsia="Arial" w:hAnsi="Arial"/>
          <w:sz w:val="22"/>
          <w:szCs w:val="22"/>
        </w:rPr>
        <w:t xml:space="preserve">VLANs: Dedicated VLANs per function (User, Voice, IoT, Printer, Management, Guest, Quarantine, Server, DMZ) with no inter-VLAN routing at the access layer.</w:t>
      </w:r>
    </w:p>
    <w:p>
      <w:pPr>
        <w:pStyle w:val="ListParagraph"/>
        <w:numPr>
          <w:ilvl w:val="0"/>
          <w:numId w:val="2"/>
        </w:numPr>
        <w:spacing w:after="80"/>
      </w:pPr>
      <w:r>
        <w:rPr>
          <w:rFonts w:ascii="Arial" w:cs="Arial" w:eastAsia="Arial" w:hAnsi="Arial"/>
          <w:sz w:val="22"/>
          <w:szCs w:val="22"/>
        </w:rPr>
        <w:t xml:space="preserve">VRFs: Virtual Routing and Forwarding instances at distribution/core to enforce routing isolation between Enterprise, Secure, and Air-Gap network tiers.</w:t>
      </w:r>
    </w:p>
    <w:p>
      <w:pPr>
        <w:pStyle w:val="ListParagraph"/>
        <w:numPr>
          <w:ilvl w:val="0"/>
          <w:numId w:val="2"/>
        </w:numPr>
        <w:spacing w:after="80"/>
      </w:pPr>
      <w:r>
        <w:rPr>
          <w:rFonts w:ascii="Arial" w:cs="Arial" w:eastAsia="Arial" w:hAnsi="Arial"/>
          <w:sz w:val="22"/>
          <w:szCs w:val="22"/>
        </w:rPr>
        <w:t xml:space="preserve">L3 Segmentation: All inter-zone traffic routed through FortiGate ISFW with policy enforcement, inspection, and logging.</w:t>
      </w:r>
    </w:p>
    <w:p>
      <w:pPr>
        <w:pStyle w:val="ListParagraph"/>
        <w:numPr>
          <w:ilvl w:val="0"/>
          <w:numId w:val="2"/>
        </w:numPr>
        <w:spacing w:after="80"/>
      </w:pPr>
      <w:r>
        <w:rPr>
          <w:rFonts w:ascii="Arial" w:cs="Arial" w:eastAsia="Arial" w:hAnsi="Arial"/>
          <w:sz w:val="22"/>
          <w:szCs w:val="22"/>
        </w:rPr>
        <w:t xml:space="preserve">Trust Boundaries: Five defined trust boundaries—Internet, WAN, Enterprise/Secure, Secure/Air-Gap, and IT/OT—each enforced by a dedicated firewall pair.</w:t>
      </w:r>
    </w:p>
    <w:p>
      <w:pPr>
        <w:pStyle w:val="ListParagraph"/>
        <w:numPr>
          <w:ilvl w:val="0"/>
          <w:numId w:val="2"/>
        </w:numPr>
        <w:spacing w:after="80"/>
      </w:pPr>
      <w:r>
        <w:rPr>
          <w:rFonts w:ascii="Arial" w:cs="Arial" w:eastAsia="Arial" w:hAnsi="Arial"/>
          <w:sz w:val="22"/>
          <w:szCs w:val="22"/>
        </w:rPr>
        <w:t xml:space="preserve">Secure Zones: Zones defined per CISSP security architecture principles—Public (Internet), Semi-Public (DMZ), Private (Enterprise), Restricted (Secure), and Classified (Air-Gap).</w:t>
      </w:r>
    </w:p>
    <w:p>
      <w:pPr>
        <w:pStyle w:val="Heading2"/>
      </w:pPr>
      <w:r>
        <w:t xml:space="preserve">4.5 Air-Gapped Security</w:t>
      </w:r>
    </w:p>
    <w:p>
      <w:pPr>
        <w:pStyle w:val="ListParagraph"/>
        <w:numPr>
          <w:ilvl w:val="0"/>
          <w:numId w:val="2"/>
        </w:numPr>
        <w:spacing w:after="80"/>
      </w:pPr>
      <w:r>
        <w:rPr>
          <w:rFonts w:ascii="Arial" w:cs="Arial" w:eastAsia="Arial" w:hAnsi="Arial"/>
          <w:sz w:val="22"/>
          <w:szCs w:val="22"/>
        </w:rPr>
        <w:t xml:space="preserve">Secure File Transfer: All files entering the air-gapped network are scanned by OPSWAT MetaDefender Kiosks with multi-AV scanning, CDR, and file type enforcement.</w:t>
      </w:r>
    </w:p>
    <w:p>
      <w:pPr>
        <w:pStyle w:val="ListParagraph"/>
        <w:numPr>
          <w:ilvl w:val="0"/>
          <w:numId w:val="2"/>
        </w:numPr>
        <w:spacing w:after="80"/>
      </w:pPr>
      <w:r>
        <w:rPr>
          <w:rFonts w:ascii="Arial" w:cs="Arial" w:eastAsia="Arial" w:hAnsi="Arial"/>
          <w:sz w:val="22"/>
          <w:szCs w:val="22"/>
        </w:rPr>
        <w:t xml:space="preserve">Media Scanning: USB drives, optical media, and portable storage are scanned and sanitized before use in the isolated environment. Unapproved media types are blocked.</w:t>
      </w:r>
    </w:p>
    <w:p>
      <w:pPr>
        <w:pStyle w:val="ListParagraph"/>
        <w:numPr>
          <w:ilvl w:val="0"/>
          <w:numId w:val="2"/>
        </w:numPr>
        <w:spacing w:after="80"/>
      </w:pPr>
      <w:r>
        <w:rPr>
          <w:rFonts w:ascii="Arial" w:cs="Arial" w:eastAsia="Arial" w:hAnsi="Arial"/>
          <w:sz w:val="22"/>
          <w:szCs w:val="22"/>
        </w:rPr>
        <w:t xml:space="preserve">Offline Update Architecture: Patch and signature updates are downloaded on the enterprise network, verified for integrity (hash/signature validation), transferred via approved media, and deployed through a dedicated offline WSUS/update server within the air-gapped zone.</w:t>
      </w:r>
    </w:p>
    <w:p>
      <w:pPr>
        <w:pStyle w:val="ListParagraph"/>
        <w:numPr>
          <w:ilvl w:val="0"/>
          <w:numId w:val="2"/>
        </w:numPr>
        <w:spacing w:after="80"/>
      </w:pPr>
      <w:r>
        <w:rPr>
          <w:rFonts w:ascii="Arial" w:cs="Arial" w:eastAsia="Arial" w:hAnsi="Arial"/>
          <w:sz w:val="22"/>
          <w:szCs w:val="22"/>
        </w:rPr>
        <w:t xml:space="preserve">Controlled Access Model: Physical access controls (badges, biometrics) combined with logical access (PAM, MFA) enforce dual-authorization for air-gapped network access. All sessions are recorded.</w:t>
      </w:r>
    </w:p>
    <w:p>
      <w:r>
        <w:br w:type="page"/>
      </w:r>
    </w:p>
    <w:p>
      <w:pPr>
        <w:pStyle w:val="Heading1"/>
      </w:pPr>
      <w:r>
        <w:t xml:space="preserve">5. Security Architecture — CISSP Domain Alignment</w:t>
      </w:r>
    </w:p>
    <w:p>
      <w:pPr>
        <w:spacing w:after="120"/>
      </w:pPr>
      <w:r>
        <w:rPr>
          <w:rFonts w:ascii="Arial" w:cs="Arial" w:eastAsia="Arial" w:hAnsi="Arial"/>
          <w:b/>
          <w:bCs/>
          <w:sz w:val="22"/>
          <w:szCs w:val="22"/>
        </w:rPr>
        <w:t xml:space="preserve">This section maps the entire security architecture to the eight CISSP domains, demonstrating comprehensive coverage of enterprise security principles.</w:t>
      </w:r>
    </w:p>
    <w:p>
      <w:pPr>
        <w:pStyle w:val="Heading2"/>
      </w:pPr>
      <w:r>
        <w:t xml:space="preserve">5.1 Domain 1 — Security &amp; Risk Management</w:t>
      </w:r>
    </w:p>
    <w:p>
      <w:pPr>
        <w:spacing w:after="120"/>
      </w:pPr>
      <w:r>
        <w:rPr>
          <w:rFonts w:ascii="Arial" w:cs="Arial" w:eastAsia="Arial" w:hAnsi="Arial"/>
          <w:b w:val="false"/>
          <w:bCs w:val="false"/>
          <w:sz w:val="22"/>
          <w:szCs w:val="22"/>
        </w:rPr>
        <w:t xml:space="preserve">The cybersecurity governance framework establishes executive-sponsored security policies, risk management procedures, and compliance monitoring aligned with NCA ECC and ISO 27001. CyberArrow GRC platform automates risk assessments, control tracking, and audit reporting. Security awareness training via Proofpoint SAT builds a security-conscious culture across the organization.</w:t>
      </w:r>
    </w:p>
    <w:p>
      <w:pPr>
        <w:pStyle w:val="Heading2"/>
      </w:pPr>
      <w:r>
        <w:t xml:space="preserve">5.2 Domain 2 — Asset Security</w:t>
      </w:r>
    </w:p>
    <w:p>
      <w:pPr>
        <w:spacing w:after="120"/>
      </w:pPr>
      <w:r>
        <w:rPr>
          <w:rFonts w:ascii="Arial" w:cs="Arial" w:eastAsia="Arial" w:hAnsi="Arial"/>
          <w:b w:val="false"/>
          <w:bCs w:val="false"/>
          <w:sz w:val="22"/>
          <w:szCs w:val="22"/>
        </w:rPr>
        <w:t xml:space="preserve">Comprehensive asset inventory and classification is achieved through FortiNAC device profiling, FortiClient endpoint telemetry, and NDMO-aligned data classification. FortiDLP enforces data handling policies based on classification labels. Seclore DRM provides persistent protection for sensitive documents shared with third parties.</w:t>
      </w:r>
    </w:p>
    <w:p>
      <w:pPr>
        <w:pStyle w:val="Heading2"/>
      </w:pPr>
      <w:r>
        <w:t xml:space="preserve">5.3 Domain 3 — Security Architecture &amp; Engineering</w:t>
      </w:r>
    </w:p>
    <w:p>
      <w:pPr>
        <w:spacing w:after="120"/>
      </w:pPr>
      <w:r>
        <w:rPr>
          <w:rFonts w:ascii="Arial" w:cs="Arial" w:eastAsia="Arial" w:hAnsi="Arial"/>
          <w:b w:val="false"/>
          <w:bCs w:val="false"/>
          <w:sz w:val="22"/>
          <w:szCs w:val="22"/>
        </w:rPr>
        <w:t xml:space="preserve">The architecture implements Defense in Depth with multiple overlapping security layers: perimeter NGFW, internal segmentation, endpoint EDR, email gateway, WAF, and sandbox. Zero Trust principles eliminate implicit trust—every access request is authenticated, authorized, and continuously validated. Secure design patterns include: fail-closed defaults, separation of duties, least functionality, and defense against common attack patterns (OWASP, MITRE ATT&amp;CK). The air-gapped architecture provides physical and logical isolation for classified workloads.</w:t>
      </w:r>
    </w:p>
    <w:p>
      <w:pPr>
        <w:pStyle w:val="Heading2"/>
      </w:pPr>
      <w:r>
        <w:t xml:space="preserve">5.4 Domain 4 — Communication &amp; Network Security</w:t>
      </w:r>
    </w:p>
    <w:p>
      <w:pPr>
        <w:spacing w:after="120"/>
      </w:pPr>
      <w:r>
        <w:rPr>
          <w:rFonts w:ascii="Arial" w:cs="Arial" w:eastAsia="Arial" w:hAnsi="Arial"/>
          <w:b w:val="false"/>
          <w:bCs w:val="false"/>
          <w:sz w:val="22"/>
          <w:szCs w:val="22"/>
        </w:rPr>
        <w:t xml:space="preserve">Network security is enforced through multi-layer segmentation (VLAN, VRF, NGFW), encrypted WAN communications (IPsec/SSL VPN), and comprehensive traffic inspection (N-S and E-W). SD-WAN provides intelligent path selection with integrated security. Wireless networks enforce WPA3-Enterprise with WIPS. All management traffic uses dedicated out-of-band management VLANs with encrypted protocols (SSH, HTTPS, SNMPv3).</w:t>
      </w:r>
    </w:p>
    <w:p>
      <w:pPr>
        <w:pStyle w:val="Heading2"/>
      </w:pPr>
      <w:r>
        <w:t xml:space="preserve">5.5 Domain 5 — Identity &amp; Access Management</w:t>
      </w:r>
    </w:p>
    <w:p>
      <w:pPr>
        <w:spacing w:after="120"/>
      </w:pPr>
      <w:r>
        <w:rPr>
          <w:rFonts w:ascii="Arial" w:cs="Arial" w:eastAsia="Arial" w:hAnsi="Arial"/>
          <w:b w:val="false"/>
          <w:bCs w:val="false"/>
          <w:sz w:val="22"/>
          <w:szCs w:val="22"/>
        </w:rPr>
        <w:t xml:space="preserve">Centralized identity governance through FortiAuthenticator integrates with Active Directory to provide SSO, MFA, and RADIUS/LDAP services. FortiPAM secures privileged access with credential vaulting, session recording, and just-in-time access. FortiNAC enforces device-level identity through 802.1X, ensuring only authenticated and compliant devices connect to the network. RBAC policies map organizational roles to network, application, and data access permissions.</w:t>
      </w:r>
    </w:p>
    <w:p>
      <w:pPr>
        <w:pStyle w:val="Heading2"/>
      </w:pPr>
      <w:r>
        <w:t xml:space="preserve">5.6 Domain 6 — Security Assessment &amp; Testing</w:t>
      </w:r>
    </w:p>
    <w:p>
      <w:pPr>
        <w:spacing w:after="120"/>
      </w:pPr>
      <w:r>
        <w:rPr>
          <w:rFonts w:ascii="Arial" w:cs="Arial" w:eastAsia="Arial" w:hAnsi="Arial"/>
          <w:b w:val="false"/>
          <w:bCs w:val="false"/>
          <w:sz w:val="22"/>
          <w:szCs w:val="22"/>
        </w:rPr>
        <w:t xml:space="preserve">Qualys VMDR provides continuous vulnerability assessment and prioritization. FortiSandbox performs dynamic malware analysis for suspicious files. Penetration testing and red-team exercises should be conducted annually. FortiNDR provides continuous network traffic analysis for anomaly detection. Security assessment results feed into the CyberArrow GRC platform for risk treatment tracking.</w:t>
      </w:r>
    </w:p>
    <w:p>
      <w:pPr>
        <w:pStyle w:val="Heading2"/>
      </w:pPr>
      <w:r>
        <w:t xml:space="preserve">5.7 Domain 7 — Security Operations</w:t>
      </w:r>
    </w:p>
    <w:p>
      <w:pPr>
        <w:spacing w:after="120"/>
      </w:pPr>
      <w:r>
        <w:rPr>
          <w:rFonts w:ascii="Arial" w:cs="Arial" w:eastAsia="Arial" w:hAnsi="Arial"/>
          <w:b w:val="false"/>
          <w:bCs w:val="false"/>
          <w:sz w:val="22"/>
          <w:szCs w:val="22"/>
        </w:rPr>
        <w:t xml:space="preserve">The Security Operations capability is built on FortiSIEM for event correlation and alerting, FortiSOAR for automated incident response playbooks, FortiAnalyzer for centralized log management, and FortiNDR for network threat detection. This integrated SOC technology stack provides: real-time monitoring, automated threat triage, incident escalation workflows, forensic investigation support, and compliance reporting. SOC processes align with NIST CSF and NCA ECC incident management requirements.</w:t>
      </w:r>
    </w:p>
    <w:p>
      <w:pPr>
        <w:pStyle w:val="Heading2"/>
      </w:pPr>
      <w:r>
        <w:t xml:space="preserve">5.8 Domain 8 — Software Development Security</w:t>
      </w:r>
    </w:p>
    <w:p>
      <w:pPr>
        <w:spacing w:after="120"/>
      </w:pPr>
      <w:r>
        <w:rPr>
          <w:rFonts w:ascii="Arial" w:cs="Arial" w:eastAsia="Arial" w:hAnsi="Arial"/>
          <w:b w:val="false"/>
          <w:bCs w:val="false"/>
          <w:sz w:val="22"/>
          <w:szCs w:val="22"/>
        </w:rPr>
        <w:t xml:space="preserve">Application security is addressed through FortiWeb WAF for runtime protection, with future-phase implementation of Black Duck SAST/DAST for secure SDLC. FortiSandbox provides dynamic analysis of executables before deployment. Code signing and integrity verification controls protect the software supply chain.</w:t>
      </w:r>
    </w:p>
    <w:p>
      <w:pPr>
        <w:pStyle w:val="Heading2"/>
      </w:pPr>
      <w:r>
        <w:t xml:space="preserve">5.9 Security Principles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Principle</w:t>
            </w:r>
          </w:p>
        </w:tc>
        <w:tc>
          <w:tcPr>
            <w:tcW w:type="dxa" w:w="68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Implementation</w:t>
            </w:r>
          </w:p>
        </w:tc>
      </w:tr>
      <w:tr>
        <w:tc>
          <w:tcPr>
            <w:tcW w:type="dxa" w:w="2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Defense in Depth</w:t>
            </w:r>
          </w:p>
        </w:tc>
        <w:tc>
          <w:tcPr>
            <w:tcW w:type="dxa" w:w="6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Multi-layer security: Perimeter NGFW, ISFW, EDR, Email GW, WAF, Sandbox, NAC, DLP, SIEM</w:t>
            </w:r>
          </w:p>
        </w:tc>
      </w:tr>
      <w:tr>
        <w:tc>
          <w:tcPr>
            <w:tcW w:type="dxa" w:w="2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Zero Trust</w:t>
            </w:r>
          </w:p>
        </w:tc>
        <w:tc>
          <w:tcPr>
            <w:tcW w:type="dxa" w:w="6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Identity-centric access, continuous verification, micro-segmentation, ZTNA, no implicit trust</w:t>
            </w:r>
          </w:p>
        </w:tc>
      </w:tr>
      <w:tr>
        <w:tc>
          <w:tcPr>
            <w:tcW w:type="dxa" w:w="2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Least Privilege</w:t>
            </w:r>
          </w:p>
        </w:tc>
        <w:tc>
          <w:tcPr>
            <w:tcW w:type="dxa" w:w="6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RBAC, PAM with JIT access, dynamic VLAN assignment, application-aware firewall policies</w:t>
            </w:r>
          </w:p>
        </w:tc>
      </w:tr>
      <w:tr>
        <w:tc>
          <w:tcPr>
            <w:tcW w:type="dxa" w:w="2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Segmentation</w:t>
            </w:r>
          </w:p>
        </w:tc>
        <w:tc>
          <w:tcPr>
            <w:tcW w:type="dxa" w:w="6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VLAN/VRF isolation, 5 trust boundaries, dedicated ISFW, IT/OT separation, air-gap isolation</w:t>
            </w:r>
          </w:p>
        </w:tc>
      </w:tr>
      <w:tr>
        <w:tc>
          <w:tcPr>
            <w:tcW w:type="dxa" w:w="2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Trust Boundaries</w:t>
            </w:r>
          </w:p>
        </w:tc>
        <w:tc>
          <w:tcPr>
            <w:tcW w:type="dxa" w:w="6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Internet, WAN, Enterprise/Secure, Secure/Air-Gap, IT/OT — each enforced by dedicated FW pair</w:t>
            </w:r>
          </w:p>
        </w:tc>
      </w:tr>
    </w:tbl>
    <w:p>
      <w:r>
        <w:br w:type="page"/>
      </w:r>
    </w:p>
    <w:p>
      <w:pPr>
        <w:pStyle w:val="Heading1"/>
      </w:pPr>
      <w:r>
        <w:t xml:space="preserve">6. Compliance Alignment</w:t>
      </w:r>
    </w:p>
    <w:p>
      <w:pPr>
        <w:spacing w:after="120"/>
      </w:pPr>
      <w:r>
        <w:rPr>
          <w:rFonts w:ascii="Arial" w:cs="Arial" w:eastAsia="Arial" w:hAnsi="Arial"/>
          <w:b w:val="false"/>
          <w:bCs w:val="false"/>
          <w:sz w:val="22"/>
          <w:szCs w:val="22"/>
        </w:rPr>
        <w:t xml:space="preserve">The proposed architecture has been designed with regulatory compliance as a foundational requirement. The accompanying Excel workbook provides a detailed control-by-control mapping across all four regulatory frameworks.</w:t>
      </w:r>
    </w:p>
    <w:p>
      <w:pPr>
        <w:pStyle w:val="Heading2"/>
      </w:pPr>
      <w:r>
        <w:t xml:space="preserve">6.1 NCA Essential Cybersecurity Controls (ECC)</w:t>
      </w:r>
    </w:p>
    <w:p>
      <w:pPr>
        <w:spacing w:after="120"/>
      </w:pPr>
      <w:r>
        <w:rPr>
          <w:rFonts w:ascii="Arial" w:cs="Arial" w:eastAsia="Arial" w:hAnsi="Arial"/>
          <w:b w:val="false"/>
          <w:bCs w:val="false"/>
          <w:sz w:val="22"/>
          <w:szCs w:val="22"/>
        </w:rPr>
        <w:t xml:space="preserve">The architecture addresses all five ECC domains: Cybersecurity Governance, Cybersecurity Defense, Cybersecurity Resilience, Third-Party Security, and ICS/OT Security. Key technical alignments include: FortiGate NGFW and FortiNAC for access control, FortiSIEM/FortiSOAR for monitoring and incident response, FortiPAM for privileged access, FortiDLP for data protection, and Nozomi for OT security.</w:t>
      </w:r>
    </w:p>
    <w:p>
      <w:pPr>
        <w:pStyle w:val="Heading2"/>
      </w:pPr>
      <w:r>
        <w:t xml:space="preserve">6.2 NCA Cloud Security Cybersecurity Controls (CSCC)</w:t>
      </w:r>
    </w:p>
    <w:p>
      <w:pPr>
        <w:spacing w:after="120"/>
      </w:pPr>
      <w:r>
        <w:rPr>
          <w:rFonts w:ascii="Arial" w:cs="Arial" w:eastAsia="Arial" w:hAnsi="Arial"/>
          <w:b w:val="false"/>
          <w:bCs w:val="false"/>
          <w:sz w:val="22"/>
          <w:szCs w:val="22"/>
        </w:rPr>
        <w:t xml:space="preserve">Cloud security requirements are addressed through FortiSASE for cloud access security, FortiCASB integration for SaaS visibility, and FortiGate-VM for cloud workload protection. Future phases will implement Netskope CASB and FortiCNAPP for comprehensive cloud security posture management.</w:t>
      </w:r>
    </w:p>
    <w:p>
      <w:pPr>
        <w:pStyle w:val="Heading2"/>
      </w:pPr>
      <w:r>
        <w:t xml:space="preserve">6.3 ISO 27001:2022</w:t>
      </w:r>
    </w:p>
    <w:p>
      <w:pPr>
        <w:spacing w:after="120"/>
      </w:pPr>
      <w:r>
        <w:rPr>
          <w:rFonts w:ascii="Arial" w:cs="Arial" w:eastAsia="Arial" w:hAnsi="Arial"/>
          <w:b w:val="false"/>
          <w:bCs w:val="false"/>
          <w:sz w:val="22"/>
          <w:szCs w:val="22"/>
        </w:rPr>
        <w:t xml:space="preserve">The architecture maps to Annex A controls across all 14 domains. The CyberArrow GRC platform provides the Information Security Management System (ISMS) framework, including risk register, Statement of Applicability (SoA), and internal audit management. Technical controls provide implementation evidence for controls A.5 through A.18.</w:t>
      </w:r>
    </w:p>
    <w:p>
      <w:pPr>
        <w:pStyle w:val="Heading2"/>
      </w:pPr>
      <w:r>
        <w:t xml:space="preserve">6.4 NDMO (National Data Management Office)</w:t>
      </w:r>
    </w:p>
    <w:p>
      <w:pPr>
        <w:spacing w:after="120"/>
      </w:pPr>
      <w:r>
        <w:rPr>
          <w:rFonts w:ascii="Arial" w:cs="Arial" w:eastAsia="Arial" w:hAnsi="Arial"/>
          <w:b w:val="false"/>
          <w:bCs w:val="false"/>
          <w:sz w:val="22"/>
          <w:szCs w:val="22"/>
        </w:rPr>
        <w:t xml:space="preserve">Data governance requirements are addressed through FortiDLP for data classification and protection, Seclore for digital rights management, and FortiMail/FortiWeb for data-in-transit protection. The architecture supports NDMO data sovereignty requirements through on-premise deployment of all security controls.</w:t>
      </w:r>
    </w:p>
    <w:p>
      <w:pPr>
        <w:pStyle w:val="Heading2"/>
      </w:pPr>
      <w:r>
        <w:t xml:space="preserve">6.5 Compliance Control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Control Area</w:t>
            </w:r>
          </w:p>
        </w:tc>
        <w:tc>
          <w:tcPr>
            <w:tcW w:type="dxa" w:w="18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NCA ECC</w:t>
            </w:r>
          </w:p>
        </w:tc>
        <w:tc>
          <w:tcPr>
            <w:tcW w:type="dxa" w:w="18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NCA CSCC</w:t>
            </w:r>
          </w:p>
        </w:tc>
        <w:tc>
          <w:tcPr>
            <w:tcW w:type="dxa" w:w="18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ISO 27001</w:t>
            </w:r>
          </w:p>
        </w:tc>
        <w:tc>
          <w:tcPr>
            <w:tcW w:type="dxa" w:w="18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NDMO</w:t>
            </w:r>
          </w:p>
        </w:tc>
      </w:tr>
      <w:tr>
        <w:tc>
          <w:tcPr>
            <w:tcW w:type="dxa" w:w="20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Access Control</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ECC-2-2</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CSCC-2-1</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A.9</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Logging &amp; Monitoring</w:t>
            </w:r>
          </w:p>
        </w:tc>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ECC-3-2</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CSCC-3-1</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A.12.4</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r>
      <w:tr>
        <w:tc>
          <w:tcPr>
            <w:tcW w:type="dxa" w:w="20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Segmentation</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ECC-2-3</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CSCC-2-3</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A.13.1</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Data Protection</w:t>
            </w:r>
          </w:p>
        </w:tc>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ECC-2-3-7</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CSCC-2-2</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A.10, A.18</w:t>
            </w:r>
          </w:p>
        </w:tc>
        <w:tc>
          <w:tcPr>
            <w:tcW w:type="dxa" w:w="18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DG-1, DG-2</w:t>
            </w:r>
          </w:p>
        </w:tc>
      </w:tr>
      <w:tr>
        <w:tc>
          <w:tcPr>
            <w:tcW w:type="dxa" w:w="20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bCs/>
                <w:sz w:val="20"/>
                <w:szCs w:val="20"/>
              </w:rPr>
              <w:t xml:space="preserve">Governance</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ECC-1-1</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CSCC-1-1</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A.5, A.6</w:t>
            </w:r>
          </w:p>
        </w:tc>
        <w:tc>
          <w:tcPr>
            <w:tcW w:type="dxa" w:w="18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DG, DP</w:t>
            </w:r>
          </w:p>
        </w:tc>
      </w:tr>
    </w:tbl>
    <w:p>
      <w:r>
        <w:br w:type="page"/>
      </w:r>
    </w:p>
    <w:p>
      <w:pPr>
        <w:pStyle w:val="Heading1"/>
      </w:pPr>
      <w:r>
        <w:t xml:space="preserve">7. Implementation Methodology</w:t>
      </w:r>
    </w:p>
    <w:p>
      <w:pPr>
        <w:spacing w:after="120"/>
      </w:pPr>
      <w:r>
        <w:rPr>
          <w:rFonts w:ascii="Arial" w:cs="Arial" w:eastAsia="Arial" w:hAnsi="Arial"/>
          <w:b w:val="false"/>
          <w:bCs w:val="false"/>
          <w:sz w:val="22"/>
          <w:szCs w:val="22"/>
        </w:rPr>
        <w:t xml:space="preserve">The project follows a structured, phased methodology to minimize risk and ensure quality delivery:</w:t>
      </w:r>
    </w:p>
    <w:p>
      <w:pPr>
        <w:pStyle w:val="Heading2"/>
      </w:pPr>
      <w:r>
        <w:t xml:space="preserve">Phase 1: Assessment &amp; Planning (Weeks 1–4)</w:t>
      </w:r>
    </w:p>
    <w:p>
      <w:pPr>
        <w:pStyle w:val="ListParagraph"/>
        <w:numPr>
          <w:ilvl w:val="0"/>
          <w:numId w:val="2"/>
        </w:numPr>
        <w:spacing w:after="80"/>
      </w:pPr>
      <w:r>
        <w:rPr>
          <w:rFonts w:ascii="Arial" w:cs="Arial" w:eastAsia="Arial" w:hAnsi="Arial"/>
          <w:sz w:val="22"/>
          <w:szCs w:val="22"/>
        </w:rPr>
        <w:t xml:space="preserve">Current-state security assessment and gap analysis against NCA ECC</w:t>
      </w:r>
    </w:p>
    <w:p>
      <w:pPr>
        <w:pStyle w:val="ListParagraph"/>
        <w:numPr>
          <w:ilvl w:val="0"/>
          <w:numId w:val="2"/>
        </w:numPr>
        <w:spacing w:after="80"/>
      </w:pPr>
      <w:r>
        <w:rPr>
          <w:rFonts w:ascii="Arial" w:cs="Arial" w:eastAsia="Arial" w:hAnsi="Arial"/>
          <w:sz w:val="22"/>
          <w:szCs w:val="22"/>
        </w:rPr>
        <w:t xml:space="preserve">Network discovery and asset inventory</w:t>
      </w:r>
    </w:p>
    <w:p>
      <w:pPr>
        <w:pStyle w:val="ListParagraph"/>
        <w:numPr>
          <w:ilvl w:val="0"/>
          <w:numId w:val="2"/>
        </w:numPr>
        <w:spacing w:after="80"/>
      </w:pPr>
      <w:r>
        <w:rPr>
          <w:rFonts w:ascii="Arial" w:cs="Arial" w:eastAsia="Arial" w:hAnsi="Arial"/>
          <w:sz w:val="22"/>
          <w:szCs w:val="22"/>
        </w:rPr>
        <w:t xml:space="preserve">Risk assessment and treatment plan</w:t>
      </w:r>
    </w:p>
    <w:p>
      <w:pPr>
        <w:pStyle w:val="ListParagraph"/>
        <w:numPr>
          <w:ilvl w:val="0"/>
          <w:numId w:val="2"/>
        </w:numPr>
        <w:spacing w:after="80"/>
      </w:pPr>
      <w:r>
        <w:rPr>
          <w:rFonts w:ascii="Arial" w:cs="Arial" w:eastAsia="Arial" w:hAnsi="Arial"/>
          <w:sz w:val="22"/>
          <w:szCs w:val="22"/>
        </w:rPr>
        <w:t xml:space="preserve">Detailed project planning and resource allocation</w:t>
      </w:r>
    </w:p>
    <w:p>
      <w:pPr>
        <w:pStyle w:val="Heading2"/>
      </w:pPr>
      <w:r>
        <w:t xml:space="preserve">Phase 2: High-Level Design (Weeks 5–8)</w:t>
      </w:r>
    </w:p>
    <w:p>
      <w:pPr>
        <w:pStyle w:val="ListParagraph"/>
        <w:numPr>
          <w:ilvl w:val="0"/>
          <w:numId w:val="2"/>
        </w:numPr>
        <w:spacing w:after="80"/>
      </w:pPr>
      <w:r>
        <w:rPr>
          <w:rFonts w:ascii="Arial" w:cs="Arial" w:eastAsia="Arial" w:hAnsi="Arial"/>
          <w:sz w:val="22"/>
          <w:szCs w:val="22"/>
        </w:rPr>
        <w:t xml:space="preserve">Architecture design review and approval</w:t>
      </w:r>
    </w:p>
    <w:p>
      <w:pPr>
        <w:pStyle w:val="ListParagraph"/>
        <w:numPr>
          <w:ilvl w:val="0"/>
          <w:numId w:val="2"/>
        </w:numPr>
        <w:spacing w:after="80"/>
      </w:pPr>
      <w:r>
        <w:rPr>
          <w:rFonts w:ascii="Arial" w:cs="Arial" w:eastAsia="Arial" w:hAnsi="Arial"/>
          <w:sz w:val="22"/>
          <w:szCs w:val="22"/>
        </w:rPr>
        <w:t xml:space="preserve">Vendor and product selection finalization</w:t>
      </w:r>
    </w:p>
    <w:p>
      <w:pPr>
        <w:pStyle w:val="ListParagraph"/>
        <w:numPr>
          <w:ilvl w:val="0"/>
          <w:numId w:val="2"/>
        </w:numPr>
        <w:spacing w:after="80"/>
      </w:pPr>
      <w:r>
        <w:rPr>
          <w:rFonts w:ascii="Arial" w:cs="Arial" w:eastAsia="Arial" w:hAnsi="Arial"/>
          <w:sz w:val="22"/>
          <w:szCs w:val="22"/>
        </w:rPr>
        <w:t xml:space="preserve">HLD document development for all security domains</w:t>
      </w:r>
    </w:p>
    <w:p>
      <w:pPr>
        <w:pStyle w:val="ListParagraph"/>
        <w:numPr>
          <w:ilvl w:val="0"/>
          <w:numId w:val="2"/>
        </w:numPr>
        <w:spacing w:after="80"/>
      </w:pPr>
      <w:r>
        <w:rPr>
          <w:rFonts w:ascii="Arial" w:cs="Arial" w:eastAsia="Arial" w:hAnsi="Arial"/>
          <w:sz w:val="22"/>
          <w:szCs w:val="22"/>
        </w:rPr>
        <w:t xml:space="preserve">Compliance mapping validation</w:t>
      </w:r>
    </w:p>
    <w:p>
      <w:pPr>
        <w:pStyle w:val="Heading2"/>
      </w:pPr>
      <w:r>
        <w:t xml:space="preserve">Phase 3: Low-Level Design (Weeks 9–14)</w:t>
      </w:r>
    </w:p>
    <w:p>
      <w:pPr>
        <w:pStyle w:val="ListParagraph"/>
        <w:numPr>
          <w:ilvl w:val="0"/>
          <w:numId w:val="2"/>
        </w:numPr>
        <w:spacing w:after="80"/>
      </w:pPr>
      <w:r>
        <w:rPr>
          <w:rFonts w:ascii="Arial" w:cs="Arial" w:eastAsia="Arial" w:hAnsi="Arial"/>
          <w:sz w:val="22"/>
          <w:szCs w:val="22"/>
        </w:rPr>
        <w:t xml:space="preserve">Detailed LLD for every component (IP addressing, VLANs, policies, rules)</w:t>
      </w:r>
    </w:p>
    <w:p>
      <w:pPr>
        <w:pStyle w:val="ListParagraph"/>
        <w:numPr>
          <w:ilvl w:val="0"/>
          <w:numId w:val="2"/>
        </w:numPr>
        <w:spacing w:after="80"/>
      </w:pPr>
      <w:r>
        <w:rPr>
          <w:rFonts w:ascii="Arial" w:cs="Arial" w:eastAsia="Arial" w:hAnsi="Arial"/>
          <w:sz w:val="22"/>
          <w:szCs w:val="22"/>
        </w:rPr>
        <w:t xml:space="preserve">Configuration templates and standards</w:t>
      </w:r>
    </w:p>
    <w:p>
      <w:pPr>
        <w:pStyle w:val="ListParagraph"/>
        <w:numPr>
          <w:ilvl w:val="0"/>
          <w:numId w:val="2"/>
        </w:numPr>
        <w:spacing w:after="80"/>
      </w:pPr>
      <w:r>
        <w:rPr>
          <w:rFonts w:ascii="Arial" w:cs="Arial" w:eastAsia="Arial" w:hAnsi="Arial"/>
          <w:sz w:val="22"/>
          <w:szCs w:val="22"/>
        </w:rPr>
        <w:t xml:space="preserve">Integration design (SIEM, NAC, IAM, SOAR)</w:t>
      </w:r>
    </w:p>
    <w:p>
      <w:pPr>
        <w:pStyle w:val="ListParagraph"/>
        <w:numPr>
          <w:ilvl w:val="0"/>
          <w:numId w:val="2"/>
        </w:numPr>
        <w:spacing w:after="80"/>
      </w:pPr>
      <w:r>
        <w:rPr>
          <w:rFonts w:ascii="Arial" w:cs="Arial" w:eastAsia="Arial" w:hAnsi="Arial"/>
          <w:sz w:val="22"/>
          <w:szCs w:val="22"/>
        </w:rPr>
        <w:t xml:space="preserve">Test plan development</w:t>
      </w:r>
    </w:p>
    <w:p>
      <w:pPr>
        <w:pStyle w:val="Heading2"/>
      </w:pPr>
      <w:r>
        <w:t xml:space="preserve">Phase 4: Deployment &amp; Configuration (Weeks 15–26)</w:t>
      </w:r>
    </w:p>
    <w:p>
      <w:pPr>
        <w:pStyle w:val="ListParagraph"/>
        <w:numPr>
          <w:ilvl w:val="0"/>
          <w:numId w:val="2"/>
        </w:numPr>
        <w:spacing w:after="80"/>
      </w:pPr>
      <w:r>
        <w:rPr>
          <w:rFonts w:ascii="Arial" w:cs="Arial" w:eastAsia="Arial" w:hAnsi="Arial"/>
          <w:sz w:val="22"/>
          <w:szCs w:val="22"/>
        </w:rPr>
        <w:t xml:space="preserve">Hardware staging and rack-and-stack</w:t>
      </w:r>
    </w:p>
    <w:p>
      <w:pPr>
        <w:pStyle w:val="ListParagraph"/>
        <w:numPr>
          <w:ilvl w:val="0"/>
          <w:numId w:val="2"/>
        </w:numPr>
        <w:spacing w:after="80"/>
      </w:pPr>
      <w:r>
        <w:rPr>
          <w:rFonts w:ascii="Arial" w:cs="Arial" w:eastAsia="Arial" w:hAnsi="Arial"/>
          <w:sz w:val="22"/>
          <w:szCs w:val="22"/>
        </w:rPr>
        <w:t xml:space="preserve">Base configuration and hardening</w:t>
      </w:r>
    </w:p>
    <w:p>
      <w:pPr>
        <w:pStyle w:val="ListParagraph"/>
        <w:numPr>
          <w:ilvl w:val="0"/>
          <w:numId w:val="2"/>
        </w:numPr>
        <w:spacing w:after="80"/>
      </w:pPr>
      <w:r>
        <w:rPr>
          <w:rFonts w:ascii="Arial" w:cs="Arial" w:eastAsia="Arial" w:hAnsi="Arial"/>
          <w:sz w:val="22"/>
          <w:szCs w:val="22"/>
        </w:rPr>
        <w:t xml:space="preserve">Security policy implementation</w:t>
      </w:r>
    </w:p>
    <w:p>
      <w:pPr>
        <w:pStyle w:val="ListParagraph"/>
        <w:numPr>
          <w:ilvl w:val="0"/>
          <w:numId w:val="2"/>
        </w:numPr>
        <w:spacing w:after="80"/>
      </w:pPr>
      <w:r>
        <w:rPr>
          <w:rFonts w:ascii="Arial" w:cs="Arial" w:eastAsia="Arial" w:hAnsi="Arial"/>
          <w:sz w:val="22"/>
          <w:szCs w:val="22"/>
        </w:rPr>
        <w:t xml:space="preserve">Integration testing</w:t>
      </w:r>
    </w:p>
    <w:p>
      <w:pPr>
        <w:pStyle w:val="Heading2"/>
      </w:pPr>
      <w:r>
        <w:t xml:space="preserve">Phase 5: Migration &amp; Cutover (Weeks 27–30)</w:t>
      </w:r>
    </w:p>
    <w:p>
      <w:pPr>
        <w:pStyle w:val="ListParagraph"/>
        <w:numPr>
          <w:ilvl w:val="0"/>
          <w:numId w:val="2"/>
        </w:numPr>
        <w:spacing w:after="80"/>
      </w:pPr>
      <w:r>
        <w:rPr>
          <w:rFonts w:ascii="Arial" w:cs="Arial" w:eastAsia="Arial" w:hAnsi="Arial"/>
          <w:sz w:val="22"/>
          <w:szCs w:val="22"/>
        </w:rPr>
        <w:t xml:space="preserve">Phased migration with rollback plans</w:t>
      </w:r>
    </w:p>
    <w:p>
      <w:pPr>
        <w:pStyle w:val="ListParagraph"/>
        <w:numPr>
          <w:ilvl w:val="0"/>
          <w:numId w:val="2"/>
        </w:numPr>
        <w:spacing w:after="80"/>
      </w:pPr>
      <w:r>
        <w:rPr>
          <w:rFonts w:ascii="Arial" w:cs="Arial" w:eastAsia="Arial" w:hAnsi="Arial"/>
          <w:sz w:val="22"/>
          <w:szCs w:val="22"/>
        </w:rPr>
        <w:t xml:space="preserve">Traffic steering and policy activation</w:t>
      </w:r>
    </w:p>
    <w:p>
      <w:pPr>
        <w:pStyle w:val="ListParagraph"/>
        <w:numPr>
          <w:ilvl w:val="0"/>
          <w:numId w:val="2"/>
        </w:numPr>
        <w:spacing w:after="80"/>
      </w:pPr>
      <w:r>
        <w:rPr>
          <w:rFonts w:ascii="Arial" w:cs="Arial" w:eastAsia="Arial" w:hAnsi="Arial"/>
          <w:sz w:val="22"/>
          <w:szCs w:val="22"/>
        </w:rPr>
        <w:t xml:space="preserve">User migration by department/site</w:t>
      </w:r>
    </w:p>
    <w:p>
      <w:pPr>
        <w:pStyle w:val="Heading2"/>
      </w:pPr>
      <w:r>
        <w:t xml:space="preserve">Phase 6: Testing &amp; UAT (Weeks 31–34)</w:t>
      </w:r>
    </w:p>
    <w:p>
      <w:pPr>
        <w:pStyle w:val="ListParagraph"/>
        <w:numPr>
          <w:ilvl w:val="0"/>
          <w:numId w:val="2"/>
        </w:numPr>
        <w:spacing w:after="80"/>
      </w:pPr>
      <w:r>
        <w:rPr>
          <w:rFonts w:ascii="Arial" w:cs="Arial" w:eastAsia="Arial" w:hAnsi="Arial"/>
          <w:sz w:val="22"/>
          <w:szCs w:val="22"/>
        </w:rPr>
        <w:t xml:space="preserve">Functional testing of all security controls</w:t>
      </w:r>
    </w:p>
    <w:p>
      <w:pPr>
        <w:pStyle w:val="ListParagraph"/>
        <w:numPr>
          <w:ilvl w:val="0"/>
          <w:numId w:val="2"/>
        </w:numPr>
        <w:spacing w:after="80"/>
      </w:pPr>
      <w:r>
        <w:rPr>
          <w:rFonts w:ascii="Arial" w:cs="Arial" w:eastAsia="Arial" w:hAnsi="Arial"/>
          <w:sz w:val="22"/>
          <w:szCs w:val="22"/>
        </w:rPr>
        <w:t xml:space="preserve">Penetration testing and vulnerability assessment</w:t>
      </w:r>
    </w:p>
    <w:p>
      <w:pPr>
        <w:pStyle w:val="ListParagraph"/>
        <w:numPr>
          <w:ilvl w:val="0"/>
          <w:numId w:val="2"/>
        </w:numPr>
        <w:spacing w:after="80"/>
      </w:pPr>
      <w:r>
        <w:rPr>
          <w:rFonts w:ascii="Arial" w:cs="Arial" w:eastAsia="Arial" w:hAnsi="Arial"/>
          <w:sz w:val="22"/>
          <w:szCs w:val="22"/>
        </w:rPr>
        <w:t xml:space="preserve">User acceptance testing (UAT)</w:t>
      </w:r>
    </w:p>
    <w:p>
      <w:pPr>
        <w:pStyle w:val="ListParagraph"/>
        <w:numPr>
          <w:ilvl w:val="0"/>
          <w:numId w:val="2"/>
        </w:numPr>
        <w:spacing w:after="80"/>
      </w:pPr>
      <w:r>
        <w:rPr>
          <w:rFonts w:ascii="Arial" w:cs="Arial" w:eastAsia="Arial" w:hAnsi="Arial"/>
          <w:sz w:val="22"/>
          <w:szCs w:val="22"/>
        </w:rPr>
        <w:t xml:space="preserve">Performance and failover testing</w:t>
      </w:r>
    </w:p>
    <w:p>
      <w:pPr>
        <w:pStyle w:val="Heading2"/>
      </w:pPr>
      <w:r>
        <w:t xml:space="preserve">Phase 7: Handover &amp; Knowledge Transfer (Weeks 35–36)</w:t>
      </w:r>
    </w:p>
    <w:p>
      <w:pPr>
        <w:pStyle w:val="ListParagraph"/>
        <w:numPr>
          <w:ilvl w:val="0"/>
          <w:numId w:val="2"/>
        </w:numPr>
        <w:spacing w:after="80"/>
      </w:pPr>
      <w:r>
        <w:rPr>
          <w:rFonts w:ascii="Arial" w:cs="Arial" w:eastAsia="Arial" w:hAnsi="Arial"/>
          <w:sz w:val="22"/>
          <w:szCs w:val="22"/>
        </w:rPr>
        <w:t xml:space="preserve">As-built documentation delivery</w:t>
      </w:r>
    </w:p>
    <w:p>
      <w:pPr>
        <w:pStyle w:val="ListParagraph"/>
        <w:numPr>
          <w:ilvl w:val="0"/>
          <w:numId w:val="2"/>
        </w:numPr>
        <w:spacing w:after="80"/>
      </w:pPr>
      <w:r>
        <w:rPr>
          <w:rFonts w:ascii="Arial" w:cs="Arial" w:eastAsia="Arial" w:hAnsi="Arial"/>
          <w:sz w:val="22"/>
          <w:szCs w:val="22"/>
        </w:rPr>
        <w:t xml:space="preserve">Operations and maintenance runbooks</w:t>
      </w:r>
    </w:p>
    <w:p>
      <w:pPr>
        <w:pStyle w:val="ListParagraph"/>
        <w:numPr>
          <w:ilvl w:val="0"/>
          <w:numId w:val="2"/>
        </w:numPr>
        <w:spacing w:after="80"/>
      </w:pPr>
      <w:r>
        <w:rPr>
          <w:rFonts w:ascii="Arial" w:cs="Arial" w:eastAsia="Arial" w:hAnsi="Arial"/>
          <w:sz w:val="22"/>
          <w:szCs w:val="22"/>
        </w:rPr>
        <w:t xml:space="preserve">Knowledge transfer training sessions</w:t>
      </w:r>
    </w:p>
    <w:p>
      <w:pPr>
        <w:pStyle w:val="ListParagraph"/>
        <w:numPr>
          <w:ilvl w:val="0"/>
          <w:numId w:val="2"/>
        </w:numPr>
        <w:spacing w:after="80"/>
      </w:pPr>
      <w:r>
        <w:rPr>
          <w:rFonts w:ascii="Arial" w:cs="Arial" w:eastAsia="Arial" w:hAnsi="Arial"/>
          <w:sz w:val="22"/>
          <w:szCs w:val="22"/>
        </w:rPr>
        <w:t xml:space="preserve">Warranty and support activation</w:t>
      </w:r>
    </w:p>
    <w:p>
      <w:r>
        <w:br w:type="page"/>
      </w:r>
    </w:p>
    <w:p>
      <w:pPr>
        <w:pStyle w:val="Heading1"/>
      </w:pPr>
      <w:r>
        <w:t xml:space="preserve">8.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4860"/>
      </w:tblGrid>
      <w:tr>
        <w:tc>
          <w:tcPr>
            <w:tcW w:type="dxa" w:w="5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28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Risk Description</w:t>
            </w:r>
          </w:p>
        </w:tc>
        <w:tc>
          <w:tcPr>
            <w:tcW w:type="dxa" w:w="12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Severity</w:t>
            </w:r>
          </w:p>
        </w:tc>
        <w:tc>
          <w:tcPr>
            <w:tcW w:type="dxa" w:w="48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Mitigation Strategy</w:t>
            </w:r>
          </w:p>
        </w:tc>
      </w:tr>
      <w:tr>
        <w:tc>
          <w:tcPr>
            <w:tcW w:type="dxa" w:w="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Supply chain delays for hardware appliances</w:t>
            </w:r>
          </w:p>
        </w:tc>
        <w:tc>
          <w:tcPr>
            <w:tcW w:type="dxa" w:w="12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4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Early procurement, maintain buffer stock, identify alternate SKUs</w:t>
            </w:r>
          </w:p>
        </w:tc>
      </w:tr>
      <w:tr>
        <w:tc>
          <w:tcPr>
            <w:tcW w:type="dxa" w:w="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Integration complexity between multi-vendor components</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High</w:t>
            </w:r>
          </w:p>
        </w:tc>
        <w:tc>
          <w:tcPr>
            <w:tcW w:type="dxa" w:w="4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Leverage Fortinet Security Fabric for unified platform; conduct lab validation for non-Fortinet integrations</w:t>
            </w:r>
          </w:p>
        </w:tc>
      </w:tr>
      <w:tr>
        <w:tc>
          <w:tcPr>
            <w:tcW w:type="dxa" w:w="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Insufficient internal resources for SOC operations</w:t>
            </w:r>
          </w:p>
        </w:tc>
        <w:tc>
          <w:tcPr>
            <w:tcW w:type="dxa" w:w="12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4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Plan for MSSP partnership; implement automated playbooks via FortiSOAR to reduce analyst burden</w:t>
            </w:r>
          </w:p>
        </w:tc>
      </w:tr>
      <w:tr>
        <w:tc>
          <w:tcPr>
            <w:tcW w:type="dxa" w:w="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Air-gap procedures not followed by users</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Critical</w:t>
            </w:r>
          </w:p>
        </w:tc>
        <w:tc>
          <w:tcPr>
            <w:tcW w:type="dxa" w:w="4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Physical controls, OPSWAT kiosk enforcement, security awareness training, auditing</w:t>
            </w:r>
          </w:p>
        </w:tc>
      </w:tr>
      <w:tr>
        <w:tc>
          <w:tcPr>
            <w:tcW w:type="dxa" w:w="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Scope creep during implementation</w:t>
            </w:r>
          </w:p>
        </w:tc>
        <w:tc>
          <w:tcPr>
            <w:tcW w:type="dxa" w:w="12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4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Formal change control process, defined scope boundaries, steering committee oversight</w:t>
            </w:r>
          </w:p>
        </w:tc>
      </w:tr>
      <w:tr>
        <w:tc>
          <w:tcPr>
            <w:tcW w:type="dxa" w:w="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Legacy system incompatibility with 802.1X/NAC</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Medium</w:t>
            </w:r>
          </w:p>
        </w:tc>
        <w:tc>
          <w:tcPr>
            <w:tcW w:type="dxa" w:w="4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MAC Authentication Bypass (MAB) for non-802.1X devices; phased NAC rollout with monitoring-only mode first</w:t>
            </w:r>
          </w:p>
        </w:tc>
      </w:tr>
      <w:tr>
        <w:tc>
          <w:tcPr>
            <w:tcW w:type="dxa" w:w="5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28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Regulatory changes during implementation timeline</w:t>
            </w:r>
          </w:p>
        </w:tc>
        <w:tc>
          <w:tcPr>
            <w:tcW w:type="dxa" w:w="12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486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Continuous compliance monitoring via CyberArrow; architecture designed for flexibility</w:t>
            </w:r>
          </w:p>
        </w:tc>
      </w:tr>
      <w:tr>
        <w:tc>
          <w:tcPr>
            <w:tcW w:type="dxa" w:w="5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Performance degradation with full SSL inspection enabled</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High</w:t>
            </w:r>
          </w:p>
        </w:tc>
        <w:tc>
          <w:tcPr>
            <w:tcW w:type="dxa" w:w="48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Size firewalls for SSL inspection throughput; use hardware-accelerated models (FortiGate ASIC)</w:t>
            </w:r>
          </w:p>
        </w:tc>
      </w:tr>
    </w:tbl>
    <w:p>
      <w:r>
        <w:br w:type="page"/>
      </w:r>
    </w:p>
    <w:p>
      <w:pPr>
        <w:pStyle w:val="Heading1"/>
      </w:pPr>
      <w:r>
        <w:t xml:space="preserve">9. Assumptions</w:t>
      </w:r>
    </w:p>
    <w:p>
      <w:pPr>
        <w:pStyle w:val="ListParagraph"/>
        <w:numPr>
          <w:ilvl w:val="0"/>
          <w:numId w:val="2"/>
        </w:numPr>
        <w:spacing w:after="80"/>
      </w:pPr>
      <w:r>
        <w:rPr>
          <w:rFonts w:ascii="Arial" w:cs="Arial" w:eastAsia="Arial" w:hAnsi="Arial"/>
          <w:sz w:val="22"/>
          <w:szCs w:val="22"/>
        </w:rPr>
        <w:t xml:space="preserve">The customer will provide physical infrastructure (rack space, power, cooling, cabling) at all sites.</w:t>
      </w:r>
    </w:p>
    <w:p>
      <w:pPr>
        <w:pStyle w:val="ListParagraph"/>
        <w:numPr>
          <w:ilvl w:val="0"/>
          <w:numId w:val="2"/>
        </w:numPr>
        <w:spacing w:after="80"/>
      </w:pPr>
      <w:r>
        <w:rPr>
          <w:rFonts w:ascii="Arial" w:cs="Arial" w:eastAsia="Arial" w:hAnsi="Arial"/>
          <w:sz w:val="22"/>
          <w:szCs w:val="22"/>
        </w:rPr>
        <w:t xml:space="preserve">All pricing is based on 3-year subscription and support terms unless explicitly noted otherwise.</w:t>
      </w:r>
    </w:p>
    <w:p>
      <w:pPr>
        <w:pStyle w:val="ListParagraph"/>
        <w:numPr>
          <w:ilvl w:val="0"/>
          <w:numId w:val="2"/>
        </w:numPr>
        <w:spacing w:after="80"/>
      </w:pPr>
      <w:r>
        <w:rPr>
          <w:rFonts w:ascii="Arial" w:cs="Arial" w:eastAsia="Arial" w:hAnsi="Arial"/>
          <w:sz w:val="22"/>
          <w:szCs w:val="22"/>
        </w:rPr>
        <w:t xml:space="preserve">Fortinet is confirmed as the strategic vendor for network security infrastructure.</w:t>
      </w:r>
    </w:p>
    <w:p>
      <w:pPr>
        <w:pStyle w:val="ListParagraph"/>
        <w:numPr>
          <w:ilvl w:val="0"/>
          <w:numId w:val="2"/>
        </w:numPr>
        <w:spacing w:after="80"/>
      </w:pPr>
      <w:r>
        <w:rPr>
          <w:rFonts w:ascii="Arial" w:cs="Arial" w:eastAsia="Arial" w:hAnsi="Arial"/>
          <w:sz w:val="22"/>
          <w:szCs w:val="22"/>
        </w:rPr>
        <w:t xml:space="preserve">Active Directory is the primary identity store; integration with FortiAuthenticator via LDAP/RADIUS.</w:t>
      </w:r>
    </w:p>
    <w:p>
      <w:pPr>
        <w:pStyle w:val="ListParagraph"/>
        <w:numPr>
          <w:ilvl w:val="0"/>
          <w:numId w:val="2"/>
        </w:numPr>
        <w:spacing w:after="80"/>
      </w:pPr>
      <w:r>
        <w:rPr>
          <w:rFonts w:ascii="Arial" w:cs="Arial" w:eastAsia="Arial" w:hAnsi="Arial"/>
          <w:sz w:val="22"/>
          <w:szCs w:val="22"/>
        </w:rPr>
        <w:t xml:space="preserve">The customer has or will obtain MPLS/WAN connectivity between branches.</w:t>
      </w:r>
    </w:p>
    <w:p>
      <w:pPr>
        <w:pStyle w:val="ListParagraph"/>
        <w:numPr>
          <w:ilvl w:val="0"/>
          <w:numId w:val="2"/>
        </w:numPr>
        <w:spacing w:after="80"/>
      </w:pPr>
      <w:r>
        <w:rPr>
          <w:rFonts w:ascii="Arial" w:cs="Arial" w:eastAsia="Arial" w:hAnsi="Arial"/>
          <w:sz w:val="22"/>
          <w:szCs w:val="22"/>
        </w:rPr>
        <w:t xml:space="preserve">Professional services (design, deployment, project management) are priced separately.</w:t>
      </w:r>
    </w:p>
    <w:p>
      <w:pPr>
        <w:pStyle w:val="ListParagraph"/>
        <w:numPr>
          <w:ilvl w:val="0"/>
          <w:numId w:val="2"/>
        </w:numPr>
        <w:spacing w:after="80"/>
      </w:pPr>
      <w:r>
        <w:rPr>
          <w:rFonts w:ascii="Arial" w:cs="Arial" w:eastAsia="Arial" w:hAnsi="Arial"/>
          <w:sz w:val="22"/>
          <w:szCs w:val="22"/>
        </w:rPr>
        <w:t xml:space="preserve">The air-gapped network requires dedicated, physically separated infrastructure at all layers.</w:t>
      </w:r>
    </w:p>
    <w:p>
      <w:pPr>
        <w:pStyle w:val="ListParagraph"/>
        <w:numPr>
          <w:ilvl w:val="0"/>
          <w:numId w:val="2"/>
        </w:numPr>
        <w:spacing w:after="80"/>
      </w:pPr>
      <w:r>
        <w:rPr>
          <w:rFonts w:ascii="Arial" w:cs="Arial" w:eastAsia="Arial" w:hAnsi="Arial"/>
          <w:sz w:val="22"/>
          <w:szCs w:val="22"/>
        </w:rPr>
        <w:t xml:space="preserve">High Availability (HA) is required for all critical security appliances at the main site.</w:t>
      </w:r>
    </w:p>
    <w:p>
      <w:pPr>
        <w:pStyle w:val="ListParagraph"/>
        <w:numPr>
          <w:ilvl w:val="0"/>
          <w:numId w:val="2"/>
        </w:numPr>
        <w:spacing w:after="80"/>
      </w:pPr>
      <w:r>
        <w:rPr>
          <w:rFonts w:ascii="Arial" w:cs="Arial" w:eastAsia="Arial" w:hAnsi="Arial"/>
          <w:sz w:val="22"/>
          <w:szCs w:val="22"/>
        </w:rPr>
        <w:t xml:space="preserve">The customer will provide access to existing documentation, network diagrams, and asset inventories during the assessment phase.</w:t>
      </w:r>
    </w:p>
    <w:p>
      <w:pPr>
        <w:pStyle w:val="ListParagraph"/>
        <w:numPr>
          <w:ilvl w:val="0"/>
          <w:numId w:val="2"/>
        </w:numPr>
        <w:spacing w:after="80"/>
      </w:pPr>
      <w:r>
        <w:rPr>
          <w:rFonts w:ascii="Arial" w:cs="Arial" w:eastAsia="Arial" w:hAnsi="Arial"/>
          <w:sz w:val="22"/>
          <w:szCs w:val="22"/>
        </w:rPr>
        <w:t xml:space="preserve">NCA, SAMA, and NDMO regulatory requirements as published at the time of proposal are the compliance baseline.</w:t>
      </w:r>
    </w:p>
    <w:p>
      <w:pPr>
        <w:pStyle w:val="Heading1"/>
      </w:pPr>
      <w:r>
        <w:t xml:space="preserve">10. Exclusions</w:t>
      </w:r>
    </w:p>
    <w:p>
      <w:pPr>
        <w:spacing w:after="120"/>
      </w:pPr>
      <w:r>
        <w:rPr>
          <w:rFonts w:ascii="Arial" w:cs="Arial" w:eastAsia="Arial" w:hAnsi="Arial"/>
          <w:b w:val="false"/>
          <w:bCs w:val="false"/>
          <w:sz w:val="22"/>
          <w:szCs w:val="22"/>
        </w:rPr>
        <w:t xml:space="preserve">The following items are explicitly excluded from this proposal scope. These exclusions do not remove core security capabilities:</w:t>
      </w:r>
    </w:p>
    <w:p>
      <w:pPr>
        <w:pStyle w:val="ListParagraph"/>
        <w:numPr>
          <w:ilvl w:val="0"/>
          <w:numId w:val="2"/>
        </w:numPr>
        <w:spacing w:after="80"/>
      </w:pPr>
      <w:r>
        <w:rPr>
          <w:rFonts w:ascii="Arial" w:cs="Arial" w:eastAsia="Arial" w:hAnsi="Arial"/>
          <w:sz w:val="22"/>
          <w:szCs w:val="22"/>
        </w:rPr>
        <w:t xml:space="preserve">Physical security systems (CCTV, access control badges, biometric readers)—except logical integration with NAC.</w:t>
      </w:r>
    </w:p>
    <w:p>
      <w:pPr>
        <w:pStyle w:val="ListParagraph"/>
        <w:numPr>
          <w:ilvl w:val="0"/>
          <w:numId w:val="2"/>
        </w:numPr>
        <w:spacing w:after="80"/>
      </w:pPr>
      <w:r>
        <w:rPr>
          <w:rFonts w:ascii="Arial" w:cs="Arial" w:eastAsia="Arial" w:hAnsi="Arial"/>
          <w:sz w:val="22"/>
          <w:szCs w:val="22"/>
        </w:rPr>
        <w:t xml:space="preserve">Application development, custom software, or ERP implementation.</w:t>
      </w:r>
    </w:p>
    <w:p>
      <w:pPr>
        <w:pStyle w:val="ListParagraph"/>
        <w:numPr>
          <w:ilvl w:val="0"/>
          <w:numId w:val="2"/>
        </w:numPr>
        <w:spacing w:after="80"/>
      </w:pPr>
      <w:r>
        <w:rPr>
          <w:rFonts w:ascii="Arial" w:cs="Arial" w:eastAsia="Arial" w:hAnsi="Arial"/>
          <w:sz w:val="22"/>
          <w:szCs w:val="22"/>
        </w:rPr>
        <w:t xml:space="preserve">Data center facility construction or renovation.</w:t>
      </w:r>
    </w:p>
    <w:p>
      <w:pPr>
        <w:pStyle w:val="ListParagraph"/>
        <w:numPr>
          <w:ilvl w:val="0"/>
          <w:numId w:val="2"/>
        </w:numPr>
        <w:spacing w:after="80"/>
      </w:pPr>
      <w:r>
        <w:rPr>
          <w:rFonts w:ascii="Arial" w:cs="Arial" w:eastAsia="Arial" w:hAnsi="Arial"/>
          <w:sz w:val="22"/>
          <w:szCs w:val="22"/>
        </w:rPr>
        <w:t xml:space="preserve">ISP/WAN circuit procurement and recurring costs.</w:t>
      </w:r>
    </w:p>
    <w:p>
      <w:pPr>
        <w:pStyle w:val="ListParagraph"/>
        <w:numPr>
          <w:ilvl w:val="0"/>
          <w:numId w:val="2"/>
        </w:numPr>
        <w:spacing w:after="80"/>
      </w:pPr>
      <w:r>
        <w:rPr>
          <w:rFonts w:ascii="Arial" w:cs="Arial" w:eastAsia="Arial" w:hAnsi="Arial"/>
          <w:sz w:val="22"/>
          <w:szCs w:val="22"/>
        </w:rPr>
        <w:t xml:space="preserve">Ongoing managed security services (MSSP/SOC operations)—can be added as a separate engagement.</w:t>
      </w:r>
    </w:p>
    <w:p>
      <w:pPr>
        <w:pStyle w:val="ListParagraph"/>
        <w:numPr>
          <w:ilvl w:val="0"/>
          <w:numId w:val="2"/>
        </w:numPr>
        <w:spacing w:after="80"/>
      </w:pPr>
      <w:r>
        <w:rPr>
          <w:rFonts w:ascii="Arial" w:cs="Arial" w:eastAsia="Arial" w:hAnsi="Arial"/>
          <w:sz w:val="22"/>
          <w:szCs w:val="22"/>
        </w:rPr>
        <w:t xml:space="preserve">Third-party penetration testing services—recommended annually, scoped separately.</w:t>
      </w:r>
    </w:p>
    <w:p>
      <w:pPr>
        <w:pStyle w:val="ListParagraph"/>
        <w:numPr>
          <w:ilvl w:val="0"/>
          <w:numId w:val="2"/>
        </w:numPr>
        <w:spacing w:after="80"/>
      </w:pPr>
      <w:r>
        <w:rPr>
          <w:rFonts w:ascii="Arial" w:cs="Arial" w:eastAsia="Arial" w:hAnsi="Arial"/>
          <w:sz w:val="22"/>
          <w:szCs w:val="22"/>
        </w:rPr>
        <w:t xml:space="preserve">Hardware maintenance beyond the included FortiCare support term.</w:t>
      </w:r>
    </w:p>
    <w:p>
      <w:pPr>
        <w:pStyle w:val="ListParagraph"/>
        <w:numPr>
          <w:ilvl w:val="0"/>
          <w:numId w:val="2"/>
        </w:numPr>
        <w:spacing w:after="80"/>
      </w:pPr>
      <w:r>
        <w:rPr>
          <w:rFonts w:ascii="Arial" w:cs="Arial" w:eastAsia="Arial" w:hAnsi="Arial"/>
          <w:sz w:val="22"/>
          <w:szCs w:val="22"/>
        </w:rPr>
        <w:t xml:space="preserve">End-user device procurement (laptops, desktops, mobile devices).</w:t>
      </w:r>
    </w:p>
    <w:p>
      <w:pPr>
        <w:pStyle w:val="Heading1"/>
      </w:pPr>
      <w:r>
        <w:t xml:space="preserve">11. Questions to Customer</w:t>
      </w:r>
    </w:p>
    <w:p>
      <w:pPr>
        <w:spacing w:after="120"/>
      </w:pPr>
      <w:r>
        <w:rPr>
          <w:rFonts w:ascii="Arial" w:cs="Arial" w:eastAsia="Arial" w:hAnsi="Arial"/>
          <w:b w:val="false"/>
          <w:bCs w:val="false"/>
          <w:sz w:val="22"/>
          <w:szCs w:val="22"/>
        </w:rPr>
        <w:t xml:space="preserve">The following questions must be addressed to finalize the technical design and sizing:</w:t>
      </w:r>
    </w:p>
    <w:p>
      <w:pPr>
        <w:pStyle w:val="Heading2"/>
      </w:pPr>
      <w:r>
        <w:t xml:space="preserve">11.1 Technical Questions</w:t>
      </w:r>
    </w:p>
    <w:p>
      <w:pPr>
        <w:pStyle w:val="ListParagraph"/>
        <w:numPr>
          <w:ilvl w:val="0"/>
          <w:numId w:val="2"/>
        </w:numPr>
        <w:spacing w:after="80"/>
      </w:pPr>
      <w:r>
        <w:rPr>
          <w:rFonts w:ascii="Arial" w:cs="Arial" w:eastAsia="Arial" w:hAnsi="Arial"/>
          <w:sz w:val="22"/>
          <w:szCs w:val="22"/>
        </w:rPr>
        <w:t xml:space="preserve">How many physical sites/branches require connectivity, and what is the user count per site?</w:t>
      </w:r>
    </w:p>
    <w:p>
      <w:pPr>
        <w:pStyle w:val="ListParagraph"/>
        <w:numPr>
          <w:ilvl w:val="0"/>
          <w:numId w:val="2"/>
        </w:numPr>
        <w:spacing w:after="80"/>
      </w:pPr>
      <w:r>
        <w:rPr>
          <w:rFonts w:ascii="Arial" w:cs="Arial" w:eastAsia="Arial" w:hAnsi="Arial"/>
          <w:sz w:val="22"/>
          <w:szCs w:val="22"/>
        </w:rPr>
        <w:t xml:space="preserve">What is the current WAN/MPLS provider and bandwidth allocation per site?</w:t>
      </w:r>
    </w:p>
    <w:p>
      <w:pPr>
        <w:pStyle w:val="ListParagraph"/>
        <w:numPr>
          <w:ilvl w:val="0"/>
          <w:numId w:val="2"/>
        </w:numPr>
        <w:spacing w:after="80"/>
      </w:pPr>
      <w:r>
        <w:rPr>
          <w:rFonts w:ascii="Arial" w:cs="Arial" w:eastAsia="Arial" w:hAnsi="Arial"/>
          <w:sz w:val="22"/>
          <w:szCs w:val="22"/>
        </w:rPr>
        <w:t xml:space="preserve">What Active Directory forest/domain structure is in place?</w:t>
      </w:r>
    </w:p>
    <w:p>
      <w:pPr>
        <w:pStyle w:val="ListParagraph"/>
        <w:numPr>
          <w:ilvl w:val="0"/>
          <w:numId w:val="2"/>
        </w:numPr>
        <w:spacing w:after="80"/>
      </w:pPr>
      <w:r>
        <w:rPr>
          <w:rFonts w:ascii="Arial" w:cs="Arial" w:eastAsia="Arial" w:hAnsi="Arial"/>
          <w:sz w:val="22"/>
          <w:szCs w:val="22"/>
        </w:rPr>
        <w:t xml:space="preserve">Is there existing network infrastructure (switches, APs, firewalls) to be retained or replaced?</w:t>
      </w:r>
    </w:p>
    <w:p>
      <w:pPr>
        <w:pStyle w:val="ListParagraph"/>
        <w:numPr>
          <w:ilvl w:val="0"/>
          <w:numId w:val="2"/>
        </w:numPr>
        <w:spacing w:after="80"/>
      </w:pPr>
      <w:r>
        <w:rPr>
          <w:rFonts w:ascii="Arial" w:cs="Arial" w:eastAsia="Arial" w:hAnsi="Arial"/>
          <w:sz w:val="22"/>
          <w:szCs w:val="22"/>
        </w:rPr>
        <w:t xml:space="preserve">What is the expected internet bandwidth at the main site and each branch?</w:t>
      </w:r>
    </w:p>
    <w:p>
      <w:pPr>
        <w:pStyle w:val="ListParagraph"/>
        <w:numPr>
          <w:ilvl w:val="0"/>
          <w:numId w:val="2"/>
        </w:numPr>
        <w:spacing w:after="80"/>
      </w:pPr>
      <w:r>
        <w:rPr>
          <w:rFonts w:ascii="Arial" w:cs="Arial" w:eastAsia="Arial" w:hAnsi="Arial"/>
          <w:sz w:val="22"/>
          <w:szCs w:val="22"/>
        </w:rPr>
        <w:t xml:space="preserve">How many servers, VMs, and containers are in the environment?</w:t>
      </w:r>
    </w:p>
    <w:p>
      <w:pPr>
        <w:pStyle w:val="Heading2"/>
      </w:pPr>
      <w:r>
        <w:t xml:space="preserve">11.2 Compliance Questions</w:t>
      </w:r>
    </w:p>
    <w:p>
      <w:pPr>
        <w:pStyle w:val="ListParagraph"/>
        <w:numPr>
          <w:ilvl w:val="0"/>
          <w:numId w:val="2"/>
        </w:numPr>
        <w:spacing w:after="80"/>
      </w:pPr>
      <w:r>
        <w:rPr>
          <w:rFonts w:ascii="Arial" w:cs="Arial" w:eastAsia="Arial" w:hAnsi="Arial"/>
          <w:sz w:val="22"/>
          <w:szCs w:val="22"/>
        </w:rPr>
        <w:t xml:space="preserve">Has the organization undergone a prior NCA ECC assessment? If so, what was the maturity score?</w:t>
      </w:r>
    </w:p>
    <w:p>
      <w:pPr>
        <w:pStyle w:val="ListParagraph"/>
        <w:numPr>
          <w:ilvl w:val="0"/>
          <w:numId w:val="2"/>
        </w:numPr>
        <w:spacing w:after="80"/>
      </w:pPr>
      <w:r>
        <w:rPr>
          <w:rFonts w:ascii="Arial" w:cs="Arial" w:eastAsia="Arial" w:hAnsi="Arial"/>
          <w:sz w:val="22"/>
          <w:szCs w:val="22"/>
        </w:rPr>
        <w:t xml:space="preserve">Are there sector-specific regulations (SAMA, CMA, CITC) that apply?</w:t>
      </w:r>
    </w:p>
    <w:p>
      <w:pPr>
        <w:pStyle w:val="ListParagraph"/>
        <w:numPr>
          <w:ilvl w:val="0"/>
          <w:numId w:val="2"/>
        </w:numPr>
        <w:spacing w:after="80"/>
      </w:pPr>
      <w:r>
        <w:rPr>
          <w:rFonts w:ascii="Arial" w:cs="Arial" w:eastAsia="Arial" w:hAnsi="Arial"/>
          <w:sz w:val="22"/>
          <w:szCs w:val="22"/>
        </w:rPr>
        <w:t xml:space="preserve">Is there an existing Data Classification policy per NDMO requirements?</w:t>
      </w:r>
    </w:p>
    <w:p>
      <w:pPr>
        <w:pStyle w:val="ListParagraph"/>
        <w:numPr>
          <w:ilvl w:val="0"/>
          <w:numId w:val="2"/>
        </w:numPr>
        <w:spacing w:after="80"/>
      </w:pPr>
      <w:r>
        <w:rPr>
          <w:rFonts w:ascii="Arial" w:cs="Arial" w:eastAsia="Arial" w:hAnsi="Arial"/>
          <w:sz w:val="22"/>
          <w:szCs w:val="22"/>
        </w:rPr>
        <w:t xml:space="preserve">Has a formal risk assessment been conducted in the past 12 months?</w:t>
      </w:r>
    </w:p>
    <w:p>
      <w:pPr>
        <w:pStyle w:val="Heading2"/>
      </w:pPr>
      <w:r>
        <w:t xml:space="preserve">11.3 Security Questions</w:t>
      </w:r>
    </w:p>
    <w:p>
      <w:pPr>
        <w:pStyle w:val="ListParagraph"/>
        <w:numPr>
          <w:ilvl w:val="0"/>
          <w:numId w:val="2"/>
        </w:numPr>
        <w:spacing w:after="80"/>
      </w:pPr>
      <w:r>
        <w:rPr>
          <w:rFonts w:ascii="Arial" w:cs="Arial" w:eastAsia="Arial" w:hAnsi="Arial"/>
          <w:sz w:val="22"/>
          <w:szCs w:val="22"/>
        </w:rPr>
        <w:t xml:space="preserve">Is there an existing SOC team, or will SOC operations be outsourced?</w:t>
      </w:r>
    </w:p>
    <w:p>
      <w:pPr>
        <w:pStyle w:val="ListParagraph"/>
        <w:numPr>
          <w:ilvl w:val="0"/>
          <w:numId w:val="2"/>
        </w:numPr>
        <w:spacing w:after="80"/>
      </w:pPr>
      <w:r>
        <w:rPr>
          <w:rFonts w:ascii="Arial" w:cs="Arial" w:eastAsia="Arial" w:hAnsi="Arial"/>
          <w:sz w:val="22"/>
          <w:szCs w:val="22"/>
        </w:rPr>
        <w:t xml:space="preserve">What is the current security tooling in use (if any)?</w:t>
      </w:r>
    </w:p>
    <w:p>
      <w:pPr>
        <w:pStyle w:val="ListParagraph"/>
        <w:numPr>
          <w:ilvl w:val="0"/>
          <w:numId w:val="2"/>
        </w:numPr>
        <w:spacing w:after="80"/>
      </w:pPr>
      <w:r>
        <w:rPr>
          <w:rFonts w:ascii="Arial" w:cs="Arial" w:eastAsia="Arial" w:hAnsi="Arial"/>
          <w:sz w:val="22"/>
          <w:szCs w:val="22"/>
        </w:rPr>
        <w:t xml:space="preserve">What is the required classification level for the air-gapped network?</w:t>
      </w:r>
    </w:p>
    <w:p>
      <w:pPr>
        <w:pStyle w:val="ListParagraph"/>
        <w:numPr>
          <w:ilvl w:val="0"/>
          <w:numId w:val="2"/>
        </w:numPr>
        <w:spacing w:after="80"/>
      </w:pPr>
      <w:r>
        <w:rPr>
          <w:rFonts w:ascii="Arial" w:cs="Arial" w:eastAsia="Arial" w:hAnsi="Arial"/>
          <w:sz w:val="22"/>
          <w:szCs w:val="22"/>
        </w:rPr>
        <w:t xml:space="preserve">Is OT/SCADA equipment present? If yes, provide an asset list and Purdue Model level designation.</w:t>
      </w:r>
    </w:p>
    <w:p>
      <w:pPr>
        <w:pStyle w:val="Heading2"/>
      </w:pPr>
      <w:r>
        <w:t xml:space="preserve">11.4 Air-Gap Questions</w:t>
      </w:r>
    </w:p>
    <w:p>
      <w:pPr>
        <w:pStyle w:val="ListParagraph"/>
        <w:numPr>
          <w:ilvl w:val="0"/>
          <w:numId w:val="2"/>
        </w:numPr>
        <w:spacing w:after="80"/>
      </w:pPr>
      <w:r>
        <w:rPr>
          <w:rFonts w:ascii="Arial" w:cs="Arial" w:eastAsia="Arial" w:hAnsi="Arial"/>
          <w:sz w:val="22"/>
          <w:szCs w:val="22"/>
        </w:rPr>
        <w:t xml:space="preserve">What is the approved method for software/patch updates in the air-gapped environment?</w:t>
      </w:r>
    </w:p>
    <w:p>
      <w:pPr>
        <w:pStyle w:val="ListParagraph"/>
        <w:numPr>
          <w:ilvl w:val="0"/>
          <w:numId w:val="2"/>
        </w:numPr>
        <w:spacing w:after="80"/>
      </w:pPr>
      <w:r>
        <w:rPr>
          <w:rFonts w:ascii="Arial" w:cs="Arial" w:eastAsia="Arial" w:hAnsi="Arial"/>
          <w:sz w:val="22"/>
          <w:szCs w:val="22"/>
        </w:rPr>
        <w:t xml:space="preserve">How many physical data transfer points exist between enterprise and air-gapped networks?</w:t>
      </w:r>
    </w:p>
    <w:p>
      <w:pPr>
        <w:pStyle w:val="ListParagraph"/>
        <w:numPr>
          <w:ilvl w:val="0"/>
          <w:numId w:val="2"/>
        </w:numPr>
        <w:spacing w:after="80"/>
      </w:pPr>
      <w:r>
        <w:rPr>
          <w:rFonts w:ascii="Arial" w:cs="Arial" w:eastAsia="Arial" w:hAnsi="Arial"/>
          <w:sz w:val="22"/>
          <w:szCs w:val="22"/>
        </w:rPr>
        <w:t xml:space="preserve">Is a one-way data diode required?</w:t>
      </w:r>
    </w:p>
    <w:p>
      <w:pPr>
        <w:pStyle w:val="ListParagraph"/>
        <w:numPr>
          <w:ilvl w:val="0"/>
          <w:numId w:val="2"/>
        </w:numPr>
        <w:spacing w:after="80"/>
      </w:pPr>
      <w:r>
        <w:rPr>
          <w:rFonts w:ascii="Arial" w:cs="Arial" w:eastAsia="Arial" w:hAnsi="Arial"/>
          <w:sz w:val="22"/>
          <w:szCs w:val="22"/>
        </w:rPr>
        <w:t xml:space="preserve">What removable media types are approved for use?</w:t>
      </w:r>
    </w:p>
    <w:p>
      <w:pPr>
        <w:pStyle w:val="Heading2"/>
      </w:pPr>
      <w:r>
        <w:t xml:space="preserve">11.5 Sizing Questions</w:t>
      </w:r>
    </w:p>
    <w:p>
      <w:pPr>
        <w:pStyle w:val="ListParagraph"/>
        <w:numPr>
          <w:ilvl w:val="0"/>
          <w:numId w:val="2"/>
        </w:numPr>
        <w:spacing w:after="80"/>
      </w:pPr>
      <w:r>
        <w:rPr>
          <w:rFonts w:ascii="Arial" w:cs="Arial" w:eastAsia="Arial" w:hAnsi="Arial"/>
          <w:sz w:val="22"/>
          <w:szCs w:val="22"/>
        </w:rPr>
        <w:t xml:space="preserve">Confirm the 5-year user growth projection (200 to 4,000).</w:t>
      </w:r>
    </w:p>
    <w:p>
      <w:pPr>
        <w:pStyle w:val="ListParagraph"/>
        <w:numPr>
          <w:ilvl w:val="0"/>
          <w:numId w:val="2"/>
        </w:numPr>
        <w:spacing w:after="80"/>
      </w:pPr>
      <w:r>
        <w:rPr>
          <w:rFonts w:ascii="Arial" w:cs="Arial" w:eastAsia="Arial" w:hAnsi="Arial"/>
          <w:sz w:val="22"/>
          <w:szCs w:val="22"/>
        </w:rPr>
        <w:t xml:space="preserve">What is the expected daily log volume (GB/day)?</w:t>
      </w:r>
    </w:p>
    <w:p>
      <w:pPr>
        <w:pStyle w:val="ListParagraph"/>
        <w:numPr>
          <w:ilvl w:val="0"/>
          <w:numId w:val="2"/>
        </w:numPr>
        <w:spacing w:after="80"/>
      </w:pPr>
      <w:r>
        <w:rPr>
          <w:rFonts w:ascii="Arial" w:cs="Arial" w:eastAsia="Arial" w:hAnsi="Arial"/>
          <w:sz w:val="22"/>
          <w:szCs w:val="22"/>
        </w:rPr>
        <w:t xml:space="preserve">How many concurrent remote access/VPN users are expected?</w:t>
      </w:r>
    </w:p>
    <w:p>
      <w:pPr>
        <w:pStyle w:val="ListParagraph"/>
        <w:numPr>
          <w:ilvl w:val="0"/>
          <w:numId w:val="2"/>
        </w:numPr>
        <w:spacing w:after="80"/>
      </w:pPr>
      <w:r>
        <w:rPr>
          <w:rFonts w:ascii="Arial" w:cs="Arial" w:eastAsia="Arial" w:hAnsi="Arial"/>
          <w:sz w:val="22"/>
          <w:szCs w:val="22"/>
        </w:rPr>
        <w:t xml:space="preserve">What is the expected number of email mailboxes?</w:t>
      </w:r>
    </w:p>
    <w:p>
      <w:pPr>
        <w:spacing w:before="600"/>
      </w:pPr>
    </w:p>
    <w:p>
      <w:pPr>
        <w:pBdr>
          <w:top w:val="single" w:color="2E5090" w:sz="6" w:space="8"/>
        </w:pBdr>
        <w:spacing w:before="2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360"/>
      </w:tabs>
    </w:pPr>
    <w:r>
      <w:rPr>
        <w:rFonts w:ascii="Arial" w:cs="Arial" w:eastAsia="Arial" w:hAnsi="Arial"/>
        <w:i/>
        <w:iCs/>
        <w:color w:val="999999"/>
        <w:sz w:val="16"/>
        <w:szCs w:val="16"/>
      </w:rPr>
      <w:t xml:space="preserve">Saudi Enterprise Cybersecurity Transformation — Technical Proposal</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6"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2026-05-07T13:52:51.089Z</dcterms:created>
  <dcterms:modified xsi:type="dcterms:W3CDTF">2026-05-07T13:52:51.089Z</dcterms:modified>
</cp:coreProperties>
</file>

<file path=docProps/custom.xml><?xml version="1.0" encoding="utf-8"?>
<Properties xmlns="http://schemas.openxmlformats.org/officeDocument/2006/custom-properties" xmlns:vt="http://schemas.openxmlformats.org/officeDocument/2006/docPropsVTypes"/>
</file>