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b/>
          <w:color w:val="1E3A5F"/>
          <w:sz w:val="56"/>
        </w:rPr>
        <w:t>Manual de Usuario</w:t>
      </w:r>
    </w:p>
    <w:p>
      <w:pPr>
        <w:spacing w:after="800"/>
        <w:jc w:val="center"/>
      </w:pPr>
      <w:r>
        <w:rPr>
          <w:color w:val="2563EB"/>
          <w:sz w:val="32"/>
        </w:rPr>
        <w:t>Sitio Web — Gestión del Conocimiento</w:t>
      </w:r>
    </w:p>
    <w:p>
      <w:pPr>
        <w:spacing w:before="40" w:after="40"/>
        <w:pBdr>
          <w:bottom w:val="single" w:sz="4" w:space="1" w:color="CBD5E1"/>
        </w:pBdr>
      </w:pPr>
    </w:p>
    <w:p/>
    <w:p>
      <w:pPr>
        <w:spacing w:after="120"/>
        <w:jc w:val="center"/>
      </w:pPr>
      <w:r>
        <w:rPr>
          <w:b/>
          <w:color w:val="6B7280"/>
          <w:sz w:val="24"/>
        </w:rPr>
        <w:t>Equipo de trabajo</w:t>
      </w:r>
    </w:p>
    <w:p>
      <w:pPr>
        <w:spacing w:after="80"/>
        <w:jc w:val="center"/>
      </w:pPr>
      <w:r>
        <w:rPr>
          <w:color w:val="1E3A5F"/>
          <w:sz w:val="24"/>
        </w:rPr>
        <w:t>Luis Daniel Martinez Rincon</w:t>
      </w:r>
    </w:p>
    <w:p>
      <w:pPr>
        <w:spacing w:after="80"/>
        <w:jc w:val="center"/>
      </w:pPr>
      <w:r>
        <w:rPr>
          <w:color w:val="1E3A5F"/>
          <w:sz w:val="24"/>
        </w:rPr>
        <w:t>Horacio Palacios Palacios</w:t>
      </w:r>
    </w:p>
    <w:p>
      <w:pPr>
        <w:spacing w:after="80"/>
        <w:jc w:val="center"/>
      </w:pPr>
      <w:r>
        <w:rPr>
          <w:color w:val="1E3A5F"/>
          <w:sz w:val="24"/>
        </w:rPr>
        <w:t>Dangelly Angelica Blandon Negrete</w:t>
      </w:r>
    </w:p>
    <w:p>
      <w:pPr>
        <w:spacing w:after="80"/>
        <w:jc w:val="center"/>
      </w:pPr>
      <w:r>
        <w:rPr>
          <w:color w:val="1E3A5F"/>
          <w:sz w:val="24"/>
        </w:rPr>
        <w:t>Karime Salazar Hinestroza</w:t>
      </w:r>
    </w:p>
    <w:p/>
    <w:p>
      <w:pPr>
        <w:spacing w:before="40" w:after="40"/>
        <w:pBdr>
          <w:bottom w:val="single" w:sz="4" w:space="1" w:color="CBD5E1"/>
        </w:pBdr>
      </w:pPr>
    </w:p>
    <w:p/>
    <w:p>
      <w:pPr>
        <w:spacing w:after="80"/>
        <w:jc w:val="center"/>
      </w:pPr>
      <w:r>
        <w:rPr>
          <w:color w:val="6B7280"/>
          <w:sz w:val="22"/>
        </w:rPr>
        <w:t>Gestión del Conocimiento</w:t>
      </w:r>
    </w:p>
    <w:p>
      <w:pPr>
        <w:spacing w:after="80"/>
        <w:jc w:val="center"/>
      </w:pPr>
      <w:r>
        <w:rPr>
          <w:color w:val="6B7280"/>
          <w:sz w:val="22"/>
        </w:rPr>
        <w:t>Proyecto Educativo · 2026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¿Qué es este sitio?</w:t>
      </w:r>
    </w:p>
    <w:p>
      <w:pPr>
        <w:spacing w:after="120"/>
      </w:pPr>
      <w:r>
        <w:rPr>
          <w:color w:val="374151"/>
          <w:sz w:val="22"/>
        </w:rPr>
        <w:t>Este sitio web es un recurso educativo interactivo sobre Gestión del Conocimiento. Presenta de forma clara los conceptos clave de esta disciplina con contenido académico, videos explicativos embebidos y bibliografía completa con acceso directo a las fuentes originales.</w:t>
      </w:r>
    </w:p>
    <w:p>
      <w:pPr>
        <w:pStyle w:val="Heading3"/>
        <w:spacing w:before="120" w:after="120"/>
      </w:pPr>
      <w:r>
        <w:rPr>
          <w:b/>
          <w:color w:val="1E3A5F"/>
          <w:sz w:val="24"/>
        </w:rPr>
        <w:t>Temas que cubre:</w:t>
      </w:r>
    </w:p>
    <w:p>
      <w:pPr>
        <w:pStyle w:val="ListBullet"/>
        <w:spacing w:after="60"/>
      </w:pPr>
      <w:r>
        <w:rPr>
          <w:color w:val="374151"/>
          <w:sz w:val="22"/>
        </w:rPr>
        <w:t>Conocimiento explícito y tácito en las organizaciones</w:t>
      </w:r>
    </w:p>
    <w:p>
      <w:pPr>
        <w:pStyle w:val="ListBullet"/>
        <w:spacing w:after="60"/>
      </w:pPr>
      <w:r>
        <w:rPr>
          <w:color w:val="374151"/>
          <w:sz w:val="22"/>
        </w:rPr>
        <w:t>Innovación y cultura organizacional</w:t>
      </w:r>
    </w:p>
    <w:p>
      <w:pPr>
        <w:pStyle w:val="ListBullet"/>
        <w:spacing w:after="60"/>
      </w:pPr>
      <w:r>
        <w:rPr>
          <w:color w:val="374151"/>
          <w:sz w:val="22"/>
        </w:rPr>
        <w:t>Trabajo colaborativo y comunidades de práctica</w:t>
      </w:r>
    </w:p>
    <w:p>
      <w:pPr>
        <w:pStyle w:val="ListBullet"/>
        <w:spacing w:after="60"/>
      </w:pPr>
      <w:r>
        <w:rPr>
          <w:color w:val="374151"/>
          <w:sz w:val="22"/>
        </w:rPr>
        <w:t>Aprendizaje organizacional y memoria colectiva</w:t>
      </w:r>
    </w:p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1. Acceso al Sitio</w:t>
      </w:r>
    </w:p>
    <w:p>
      <w:pPr>
        <w:spacing w:after="120"/>
      </w:pPr>
      <w:r>
        <w:rPr>
          <w:color w:val="374151"/>
          <w:sz w:val="22"/>
        </w:rPr>
        <w:t>Ingresa desde cualquier navegador moderno a:</w:t>
      </w:r>
    </w:p>
    <w:p>
      <w:pPr>
        <w:spacing w:after="160"/>
      </w:pPr>
      <w:r>
        <w:rPr>
          <w:b/>
          <w:color w:val="2563EB"/>
          <w:sz w:val="26"/>
        </w:rPr>
        <w:t>https://gestion-conocimiento.vercel.app</w:t>
      </w:r>
    </w:p>
    <w:p>
      <w:pPr>
        <w:spacing w:after="120"/>
      </w:pPr>
      <w:r>
        <w:rPr>
          <w:color w:val="374151"/>
          <w:sz w:val="22"/>
        </w:rPr>
        <w:t>Compatible con:</w:t>
      </w:r>
    </w:p>
    <w:p>
      <w:pPr>
        <w:pStyle w:val="ListBullet"/>
        <w:spacing w:after="60"/>
      </w:pPr>
      <w:r>
        <w:rPr>
          <w:color w:val="374151"/>
          <w:sz w:val="22"/>
        </w:rPr>
        <w:t>Google Chrome (recomendado)</w:t>
      </w:r>
    </w:p>
    <w:p>
      <w:pPr>
        <w:pStyle w:val="ListBullet"/>
        <w:spacing w:after="60"/>
      </w:pPr>
      <w:r>
        <w:rPr>
          <w:color w:val="374151"/>
          <w:sz w:val="22"/>
        </w:rPr>
        <w:t>Mozilla Firefox</w:t>
      </w:r>
    </w:p>
    <w:p>
      <w:pPr>
        <w:pStyle w:val="ListBullet"/>
        <w:spacing w:after="60"/>
      </w:pPr>
      <w:r>
        <w:rPr>
          <w:color w:val="374151"/>
          <w:sz w:val="22"/>
        </w:rPr>
        <w:t>Microsoft Edge</w:t>
      </w:r>
    </w:p>
    <w:p>
      <w:pPr>
        <w:pStyle w:val="ListBullet"/>
        <w:spacing w:after="60"/>
      </w:pPr>
      <w:r>
        <w:rPr>
          <w:color w:val="374151"/>
          <w:sz w:val="22"/>
        </w:rPr>
        <w:t>Safari (Mac / iOS)</w:t>
      </w:r>
    </w:p>
    <w:p>
      <w:pPr>
        <w:pStyle w:val="ListBullet"/>
        <w:spacing w:after="60"/>
      </w:pPr>
      <w:r>
        <w:rPr>
          <w:color w:val="374151"/>
          <w:sz w:val="22"/>
        </w:rPr>
        <w:t>Navegadores móviles Android e iOS</w:t>
      </w:r>
    </w:p>
    <w:p>
      <w:pPr>
        <w:spacing w:after="120"/>
      </w:pPr>
      <w:r>
        <w:rPr>
          <w:color w:val="6B7280"/>
          <w:sz w:val="22"/>
        </w:rPr>
        <w:t>No requiere registro ni instalación de ningún software adicional.</w:t>
      </w:r>
    </w:p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2. Estructura General del Sitio</w:t>
      </w:r>
    </w:p>
    <w:p>
      <w:pPr>
        <w:spacing w:after="120"/>
      </w:pPr>
      <w:r>
        <w:rPr>
          <w:color w:val="374151"/>
          <w:sz w:val="22"/>
        </w:rPr>
        <w:t>El sitio es una sola página larga dividida en secciones. Puedes navegar entre ellas usando el menú superior o haciendo scroll hacia abajo.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566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color w:val="374151"/>
                <w:sz w:val="20"/>
              </w:rPr>
              <w:t>Inicio</w:t>
            </w:r>
          </w:p>
        </w:tc>
        <w:tc>
          <w:tcPr>
            <w:tcW w:type="dxa" w:w="5669"/>
            <w:shd w:val="clear" w:color="auto" w:fill="EFF6FF"/>
          </w:tcPr>
          <w:p>
            <w:r>
              <w:rPr>
                <w:color w:val="374151"/>
                <w:sz w:val="20"/>
              </w:rPr>
              <w:t>Portada con presentación general y accesos rápidos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374151"/>
                <w:sz w:val="20"/>
              </w:rPr>
              <w:t>Subtema 1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374151"/>
                <w:sz w:val="20"/>
              </w:rPr>
              <w:t>Conocimiento Explícito vs Tácito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color w:val="374151"/>
                <w:sz w:val="20"/>
              </w:rPr>
              <w:t>Subtema 2</w:t>
            </w:r>
          </w:p>
        </w:tc>
        <w:tc>
          <w:tcPr>
            <w:tcW w:type="dxa" w:w="5669"/>
            <w:shd w:val="clear" w:color="auto" w:fill="EFF6FF"/>
          </w:tcPr>
          <w:p>
            <w:r>
              <w:rPr>
                <w:color w:val="374151"/>
                <w:sz w:val="20"/>
              </w:rPr>
              <w:t>Innovación y Cultura Organizacional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374151"/>
                <w:sz w:val="20"/>
              </w:rPr>
              <w:t>Subtema 3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374151"/>
                <w:sz w:val="20"/>
              </w:rPr>
              <w:t>Trabajo Colaborativo y Comunidades de Práctica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color w:val="374151"/>
                <w:sz w:val="20"/>
              </w:rPr>
              <w:t>Subtema 4</w:t>
            </w:r>
          </w:p>
        </w:tc>
        <w:tc>
          <w:tcPr>
            <w:tcW w:type="dxa" w:w="5669"/>
            <w:shd w:val="clear" w:color="auto" w:fill="EFF6FF"/>
          </w:tcPr>
          <w:p>
            <w:r>
              <w:rPr>
                <w:color w:val="374151"/>
                <w:sz w:val="20"/>
              </w:rPr>
              <w:t>Aprendizaje Organizacional y Memoria Colectiva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374151"/>
                <w:sz w:val="20"/>
              </w:rPr>
              <w:t>Conceptos Transversales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374151"/>
                <w:sz w:val="20"/>
              </w:rPr>
              <w:t>Síntesis e hitos históricos de la disciplina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color w:val="374151"/>
                <w:sz w:val="20"/>
              </w:rPr>
              <w:t>Fuentes</w:t>
            </w:r>
          </w:p>
        </w:tc>
        <w:tc>
          <w:tcPr>
            <w:tcW w:type="dxa" w:w="5669"/>
            <w:shd w:val="clear" w:color="auto" w:fill="EFF6FF"/>
          </w:tcPr>
          <w:p>
            <w:r>
              <w:rPr>
                <w:color w:val="374151"/>
                <w:sz w:val="20"/>
              </w:rPr>
              <w:t>Bibliografía completa con acceso a las fuentes</w:t>
            </w:r>
          </w:p>
        </w:tc>
      </w:tr>
    </w:tbl>
    <w:p/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3. La Barra de Navegación</w:t>
      </w:r>
    </w:p>
    <w:p>
      <w:pPr>
        <w:spacing w:after="120"/>
      </w:pPr>
      <w:r>
        <w:rPr>
          <w:color w:val="374151"/>
          <w:sz w:val="22"/>
        </w:rPr>
        <w:t>La barra de navegación está siempre visible en la parte superior de la pantalla (barra fija). Adapta su apariencia según el dispositivo:</w:t>
      </w:r>
    </w:p>
    <w:p>
      <w:pPr>
        <w:pStyle w:val="Heading3"/>
        <w:spacing w:before="160" w:after="120"/>
      </w:pPr>
      <w:r>
        <w:rPr>
          <w:b/>
          <w:color w:val="1E3A5F"/>
          <w:sz w:val="24"/>
        </w:rPr>
        <w:t>En pantallas grandes (computador):</w:t>
      </w:r>
    </w:p>
    <w:p>
      <w:pPr>
        <w:pStyle w:val="ListBullet"/>
        <w:spacing w:after="60"/>
      </w:pPr>
      <w:r>
        <w:rPr>
          <w:color w:val="374151"/>
          <w:sz w:val="22"/>
        </w:rPr>
        <w:t>Todos los enlaces del menú se muestran de izquierda a derecha.</w:t>
      </w:r>
    </w:p>
    <w:p>
      <w:pPr>
        <w:pStyle w:val="ListBullet"/>
        <w:spacing w:after="60"/>
      </w:pPr>
      <w:r>
        <w:rPr>
          <w:color w:val="374151"/>
          <w:sz w:val="22"/>
        </w:rPr>
        <w:t>Al inicio es transparente sobre el fondo oscuro de la portada.</w:t>
      </w:r>
    </w:p>
    <w:p>
      <w:pPr>
        <w:pStyle w:val="ListBullet"/>
        <w:spacing w:after="60"/>
      </w:pPr>
      <w:r>
        <w:rPr>
          <w:color w:val="374151"/>
          <w:sz w:val="22"/>
        </w:rPr>
        <w:t>Al hacer scroll, se vuelve blanca con sombra suave para mejor legibilidad.</w:t>
      </w:r>
    </w:p>
    <w:p>
      <w:pPr>
        <w:pStyle w:val="Heading3"/>
        <w:spacing w:before="160" w:after="120"/>
      </w:pPr>
      <w:r>
        <w:rPr>
          <w:b/>
          <w:color w:val="1E3A5F"/>
          <w:sz w:val="24"/>
        </w:rPr>
        <w:t>En pantallas pequeñas (celular / tablet):</w:t>
      </w:r>
    </w:p>
    <w:p>
      <w:pPr>
        <w:pStyle w:val="ListBullet"/>
        <w:spacing w:after="60"/>
      </w:pPr>
      <w:r>
        <w:rPr>
          <w:color w:val="374151"/>
          <w:sz w:val="22"/>
        </w:rPr>
        <w:t>Verás el logo y un ícono de tres líneas (☰) en la esquina derecha.</w:t>
      </w:r>
    </w:p>
    <w:p>
      <w:pPr>
        <w:pStyle w:val="ListBullet"/>
        <w:spacing w:after="60"/>
      </w:pPr>
      <w:r>
        <w:rPr>
          <w:color w:val="374151"/>
          <w:sz w:val="22"/>
        </w:rPr>
        <w:t>Toca el ícono para abrir el menú desplegable.</w:t>
      </w:r>
    </w:p>
    <w:p>
      <w:pPr>
        <w:pStyle w:val="ListBullet"/>
        <w:spacing w:after="60"/>
      </w:pPr>
      <w:r>
        <w:rPr>
          <w:color w:val="374151"/>
          <w:sz w:val="22"/>
        </w:rPr>
        <w:t>El menú se cierra automáticamente al seleccionar una opción.</w:t>
      </w:r>
    </w:p>
    <w:p>
      <w:pPr>
        <w:spacing w:after="120"/>
      </w:pPr>
      <w:r>
        <w:rPr>
          <w:color w:val="374151"/>
          <w:sz w:val="22"/>
        </w:rPr>
        <w:t>El ícono 🧩 (rompecabezas) en la esquina superior izquierda siempre te lleva de vuelta al inicio.</w:t>
      </w:r>
    </w:p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4. Sección de Inicio (Portada)</w:t>
      </w:r>
    </w:p>
    <w:p>
      <w:pPr>
        <w:spacing w:after="120"/>
      </w:pPr>
      <w:r>
        <w:rPr>
          <w:color w:val="374151"/>
          <w:sz w:val="22"/>
        </w:rPr>
        <w:t>Al abrir el sitio verás la portada con los siguientes elementos:</w:t>
      </w:r>
    </w:p>
    <w:p>
      <w:pPr>
        <w:pStyle w:val="ListBullet"/>
        <w:spacing w:after="60"/>
      </w:pPr>
      <w:r>
        <w:rPr>
          <w:b/>
          <w:color w:val="2563EB"/>
          <w:sz w:val="22"/>
        </w:rPr>
        <w:t xml:space="preserve">Título principal: </w:t>
      </w:r>
      <w:r>
        <w:rPr>
          <w:color w:val="374151"/>
          <w:sz w:val="22"/>
        </w:rPr>
        <w:t>"Gestión del Conocimiento" con acento visual en dorado.</w:t>
      </w:r>
    </w:p>
    <w:p>
      <w:pPr>
        <w:pStyle w:val="ListBullet"/>
        <w:spacing w:after="60"/>
      </w:pPr>
      <w:r>
        <w:rPr>
          <w:b/>
          <w:color w:val="2563EB"/>
          <w:sz w:val="22"/>
        </w:rPr>
        <w:t xml:space="preserve">Descripción: </w:t>
      </w:r>
      <w:r>
        <w:rPr>
          <w:color w:val="374151"/>
          <w:sz w:val="22"/>
        </w:rPr>
        <w:t>Párrafo introductorio sobre el alcance del sitio.</w:t>
      </w:r>
    </w:p>
    <w:p>
      <w:pPr>
        <w:pStyle w:val="ListBullet"/>
        <w:spacing w:after="60"/>
      </w:pPr>
      <w:r>
        <w:rPr>
          <w:b/>
          <w:color w:val="2563EB"/>
          <w:sz w:val="22"/>
        </w:rPr>
        <w:t xml:space="preserve">Equipo: </w:t>
      </w:r>
      <w:r>
        <w:rPr>
          <w:color w:val="374151"/>
          <w:sz w:val="22"/>
        </w:rPr>
        <w:t>Nombres de los integrantes listados debajo de la descripción.</w:t>
      </w:r>
    </w:p>
    <w:p>
      <w:pPr>
        <w:pStyle w:val="ListBullet"/>
        <w:spacing w:after="60"/>
      </w:pPr>
      <w:r>
        <w:rPr>
          <w:b/>
          <w:color w:val="2563EB"/>
          <w:sz w:val="22"/>
        </w:rPr>
        <w:t xml:space="preserve">"Explorar contenido": </w:t>
      </w:r>
      <w:r>
        <w:rPr>
          <w:color w:val="374151"/>
          <w:sz w:val="22"/>
        </w:rPr>
        <w:t>Botón que te lleva directamente al Subtema 1.</w:t>
      </w:r>
    </w:p>
    <w:p>
      <w:pPr>
        <w:pStyle w:val="ListBullet"/>
        <w:spacing w:after="60"/>
      </w:pPr>
      <w:r>
        <w:rPr>
          <w:b/>
          <w:color w:val="2563EB"/>
          <w:sz w:val="22"/>
        </w:rPr>
        <w:t xml:space="preserve">"Ver fuentes": </w:t>
      </w:r>
      <w:r>
        <w:rPr>
          <w:color w:val="374151"/>
          <w:sz w:val="22"/>
        </w:rPr>
        <w:t>Botón que te lleva a la sección de bibliografía.</w:t>
      </w:r>
    </w:p>
    <w:p>
      <w:pPr>
        <w:pStyle w:val="ListBullet"/>
        <w:spacing w:after="60"/>
      </w:pPr>
      <w:r>
        <w:rPr>
          <w:b/>
          <w:color w:val="2563EB"/>
          <w:sz w:val="22"/>
        </w:rPr>
        <w:t xml:space="preserve">Tarjetas de temas: </w:t>
      </w:r>
      <w:r>
        <w:rPr>
          <w:color w:val="374151"/>
          <w:sz w:val="22"/>
        </w:rPr>
        <w:t>Cuatro tarjetas con íconos que resumen los temas del sitio.</w:t>
      </w:r>
    </w:p>
    <w:p>
      <w:pPr>
        <w:pStyle w:val="ListBullet"/>
        <w:spacing w:after="60"/>
      </w:pPr>
      <w:r>
        <w:rPr>
          <w:b/>
          <w:color w:val="2563EB"/>
          <w:sz w:val="22"/>
        </w:rPr>
        <w:t xml:space="preserve">Flecha animada: </w:t>
      </w:r>
      <w:r>
        <w:rPr>
          <w:color w:val="374151"/>
          <w:sz w:val="22"/>
        </w:rPr>
        <w:t>En la parte inferior, indica que puedes seguir haciendo scroll.</w:t>
      </w:r>
    </w:p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5. Secciones de Subtemas</w:t>
      </w:r>
    </w:p>
    <w:p>
      <w:pPr>
        <w:spacing w:after="120"/>
      </w:pPr>
      <w:r>
        <w:rPr>
          <w:color w:val="374151"/>
          <w:sz w:val="22"/>
        </w:rPr>
        <w:t>Cada uno de los cuatro subtemas tiene la misma estructura. Reconocerás cada sección por su color característico: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96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Subtema</w:t>
            </w:r>
          </w:p>
        </w:tc>
        <w:tc>
          <w:tcPr>
            <w:tcW w:type="dxa" w:w="283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Ícono</w:t>
            </w:r>
          </w:p>
        </w:tc>
      </w:tr>
      <w:tr>
        <w:tc>
          <w:tcPr>
            <w:tcW w:type="dxa" w:w="3969"/>
            <w:shd w:val="clear" w:color="auto" w:fill="EFF6FF"/>
          </w:tcPr>
          <w:p>
            <w:r>
              <w:rPr>
                <w:color w:val="374151"/>
                <w:sz w:val="20"/>
              </w:rPr>
              <w:t>Explícito vs Tácito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color w:val="374151"/>
                <w:sz w:val="20"/>
              </w:rPr>
              <w:t>Azul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color w:val="374151"/>
                <w:sz w:val="20"/>
              </w:rPr>
              <w:t>🧠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374151"/>
                <w:sz w:val="20"/>
              </w:rPr>
              <w:t>Innovación y Cultura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374151"/>
                <w:sz w:val="20"/>
              </w:rPr>
              <w:t>Ámbar / Naranja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74151"/>
                <w:sz w:val="20"/>
              </w:rPr>
              <w:t>💡</w:t>
            </w:r>
          </w:p>
        </w:tc>
      </w:tr>
      <w:tr>
        <w:tc>
          <w:tcPr>
            <w:tcW w:type="dxa" w:w="3969"/>
            <w:shd w:val="clear" w:color="auto" w:fill="EFF6FF"/>
          </w:tcPr>
          <w:p>
            <w:r>
              <w:rPr>
                <w:color w:val="374151"/>
                <w:sz w:val="20"/>
              </w:rPr>
              <w:t>Trabajo Colaborativo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color w:val="374151"/>
                <w:sz w:val="20"/>
              </w:rPr>
              <w:t>Verde esmeralda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color w:val="374151"/>
                <w:sz w:val="20"/>
              </w:rPr>
              <w:t>🤝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374151"/>
                <w:sz w:val="20"/>
              </w:rPr>
              <w:t>Aprendizaje Organizacional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374151"/>
                <w:sz w:val="20"/>
              </w:rPr>
              <w:t>Púrpura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74151"/>
                <w:sz w:val="20"/>
              </w:rPr>
              <w:t>📚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E3A5F"/>
          <w:sz w:val="28"/>
        </w:rPr>
        <w:t>5.1 Encabezado del Subtema</w:t>
      </w:r>
    </w:p>
    <w:p>
      <w:pPr>
        <w:pStyle w:val="ListBullet"/>
        <w:spacing w:after="60"/>
      </w:pPr>
      <w:r>
        <w:rPr>
          <w:color w:val="374151"/>
          <w:sz w:val="22"/>
        </w:rPr>
        <w:t>Un ícono representativo en una caja redondeada.</w:t>
      </w:r>
    </w:p>
    <w:p>
      <w:pPr>
        <w:pStyle w:val="ListBullet"/>
        <w:spacing w:after="60"/>
      </w:pPr>
      <w:r>
        <w:rPr>
          <w:color w:val="374151"/>
          <w:sz w:val="22"/>
        </w:rPr>
        <w:t>Una etiqueta que indica el número de subtema (ej. "Subtema 1").</w:t>
      </w:r>
    </w:p>
    <w:p>
      <w:pPr>
        <w:pStyle w:val="ListBullet"/>
        <w:spacing w:after="60"/>
      </w:pPr>
      <w:r>
        <w:rPr>
          <w:color w:val="374151"/>
          <w:sz w:val="22"/>
        </w:rPr>
        <w:t>El título completo del subtema.</w:t>
      </w:r>
    </w:p>
    <w:p>
      <w:pPr>
        <w:pStyle w:val="ListBullet"/>
        <w:spacing w:after="60"/>
      </w:pPr>
      <w:r>
        <w:rPr>
          <w:color w:val="374151"/>
          <w:sz w:val="22"/>
        </w:rPr>
        <w:t>Un párrafo resumen que presenta los conceptos clave de la sección.</w:t>
      </w:r>
    </w:p>
    <w:p>
      <w:pPr>
        <w:pStyle w:val="Heading2"/>
        <w:spacing w:before="360" w:after="120"/>
      </w:pPr>
      <w:r>
        <w:rPr>
          <w:b/>
          <w:color w:val="1E3A5F"/>
          <w:sz w:val="28"/>
        </w:rPr>
        <w:t>5.2 Estadísticas</w:t>
      </w:r>
    </w:p>
    <w:p>
      <w:pPr>
        <w:spacing w:after="120"/>
      </w:pPr>
      <w:r>
        <w:rPr>
          <w:color w:val="374151"/>
          <w:sz w:val="22"/>
        </w:rPr>
        <w:t>Tres tarjetas de color sólido muestran datos cuantitativos relevantes al tema (porcentajes, cifras de estudios académicos). Son puramente informativas.</w:t>
      </w:r>
    </w:p>
    <w:p>
      <w:pPr>
        <w:pStyle w:val="Heading2"/>
        <w:spacing w:before="360" w:after="120"/>
      </w:pPr>
      <w:r>
        <w:rPr>
          <w:b/>
          <w:color w:val="1E3A5F"/>
          <w:sz w:val="28"/>
        </w:rPr>
        <w:t>5.3 Bloques de Contenido</w:t>
      </w:r>
    </w:p>
    <w:p>
      <w:pPr>
        <w:spacing w:after="120"/>
      </w:pPr>
      <w:r>
        <w:rPr>
          <w:color w:val="374151"/>
          <w:sz w:val="22"/>
        </w:rPr>
        <w:t>Seis tarjetas blancas con borde de color presentan el contenido académico. Cada tarjeta tiene:</w:t>
      </w:r>
    </w:p>
    <w:p>
      <w:pPr>
        <w:pStyle w:val="ListBullet"/>
        <w:spacing w:after="60"/>
      </w:pPr>
      <w:r>
        <w:rPr>
          <w:color w:val="374151"/>
          <w:sz w:val="22"/>
        </w:rPr>
        <w:t>Un punto de color a la izquierda como decoración.</w:t>
      </w:r>
    </w:p>
    <w:p>
      <w:pPr>
        <w:pStyle w:val="ListBullet"/>
        <w:spacing w:after="60"/>
      </w:pPr>
      <w:r>
        <w:rPr>
          <w:color w:val="374151"/>
          <w:sz w:val="22"/>
        </w:rPr>
        <w:t>Un subtítulo en negrita.</w:t>
      </w:r>
    </w:p>
    <w:p>
      <w:pPr>
        <w:pStyle w:val="ListBullet"/>
        <w:spacing w:after="60"/>
      </w:pPr>
      <w:r>
        <w:rPr>
          <w:color w:val="374151"/>
          <w:sz w:val="22"/>
        </w:rPr>
        <w:t>Un párrafo con la explicación del concepto e inclusión de referencias académicas.</w:t>
      </w:r>
    </w:p>
    <w:p>
      <w:pPr>
        <w:spacing w:after="120"/>
      </w:pPr>
      <w:r>
        <w:rPr>
          <w:color w:val="6B7280"/>
          <w:sz w:val="22"/>
        </w:rPr>
        <w:t>Pasa el cursor sobre las tarjetas para ver el efecto de elevación (sombra).</w:t>
      </w:r>
    </w:p>
    <w:p>
      <w:pPr>
        <w:pStyle w:val="Heading2"/>
        <w:spacing w:before="360" w:after="120"/>
      </w:pPr>
      <w:r>
        <w:rPr>
          <w:b/>
          <w:color w:val="1E3A5F"/>
          <w:sz w:val="28"/>
        </w:rPr>
        <w:t>5.4 Videos Relacionados</w:t>
      </w:r>
    </w:p>
    <w:p>
      <w:pPr>
        <w:spacing w:after="120"/>
      </w:pPr>
      <w:r>
        <w:rPr>
          <w:color w:val="374151"/>
          <w:sz w:val="22"/>
        </w:rPr>
        <w:t>Al final de cada subtema encontrarás tres videos de YouTube embebidos directamente en la página sobre un fondo oscuro. Cómo usarlos:</w:t>
      </w:r>
    </w:p>
    <w:p>
      <w:pPr>
        <w:pStyle w:val="ListBullet"/>
        <w:spacing w:after="60"/>
      </w:pPr>
      <w:r>
        <w:rPr>
          <w:color w:val="374151"/>
          <w:sz w:val="22"/>
        </w:rPr>
        <w:t>Los videos cargan de forma diferida (lazy loading) para no ralentizar la página.</w:t>
      </w:r>
    </w:p>
    <w:p>
      <w:pPr>
        <w:pStyle w:val="ListBullet"/>
        <w:spacing w:after="60"/>
      </w:pPr>
      <w:r>
        <w:rPr>
          <w:color w:val="374151"/>
          <w:sz w:val="22"/>
        </w:rPr>
        <w:t>Haz clic en el botón ▶ para reproducir directamente en el sitio.</w:t>
      </w:r>
    </w:p>
    <w:p>
      <w:pPr>
        <w:pStyle w:val="ListBullet"/>
        <w:spacing w:after="60"/>
      </w:pPr>
      <w:r>
        <w:rPr>
          <w:color w:val="374151"/>
          <w:sz w:val="22"/>
        </w:rPr>
        <w:t>Usa los controles del reproductor para pausar, avanzar o ajustar el volumen.</w:t>
      </w:r>
    </w:p>
    <w:p>
      <w:pPr>
        <w:pStyle w:val="ListBullet"/>
        <w:spacing w:after="60"/>
      </w:pPr>
      <w:r>
        <w:rPr>
          <w:color w:val="374151"/>
          <w:sz w:val="22"/>
        </w:rPr>
        <w:t>El botón ⛶ en la esquina inferior derecha amplía el video a pantalla completa.</w:t>
      </w:r>
    </w:p>
    <w:p>
      <w:pPr>
        <w:pStyle w:val="ListBullet"/>
        <w:spacing w:after="60"/>
      </w:pPr>
      <w:r>
        <w:rPr>
          <w:color w:val="374151"/>
          <w:sz w:val="22"/>
        </w:rPr>
        <w:t>Si prefieres verlo en YouTube, haz clic en el enlace "Ver en YouTube" debajo del video.</w:t>
      </w:r>
    </w:p>
    <w:p>
      <w:pPr>
        <w:spacing w:after="120"/>
      </w:pPr>
      <w:r>
        <w:rPr>
          <w:color w:val="6B7280"/>
          <w:sz w:val="22"/>
        </w:rPr>
        <w:t>Nota de privacidad: los videos se cargan desde youtube-nocookie.com, el dominio de privacidad reforzada de YouTube que reduce el seguimiento por cookies.</w:t>
      </w:r>
    </w:p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6. Sección de Conceptos Transversales</w:t>
      </w:r>
    </w:p>
    <w:p>
      <w:pPr>
        <w:spacing w:after="120"/>
      </w:pPr>
      <w:r>
        <w:rPr>
          <w:color w:val="374151"/>
          <w:sz w:val="22"/>
        </w:rPr>
        <w:t>Entre los subtemas y la bibliografía encontrarás una sección de síntesis con:</w:t>
      </w:r>
    </w:p>
    <w:p>
      <w:pPr>
        <w:pStyle w:val="ListBullet"/>
        <w:spacing w:after="60"/>
      </w:pPr>
      <w:r>
        <w:rPr>
          <w:color w:val="374151"/>
          <w:sz w:val="22"/>
        </w:rPr>
        <w:t>Los conceptos que conectan todos los subtemas entre sí.</w:t>
      </w:r>
    </w:p>
    <w:p>
      <w:pPr>
        <w:pStyle w:val="ListBullet"/>
        <w:spacing w:after="60"/>
      </w:pPr>
      <w:r>
        <w:rPr>
          <w:color w:val="374151"/>
          <w:sz w:val="22"/>
        </w:rPr>
        <w:t>Una línea de tiempo con hitos históricos clave de la Gestión del Conocimiento.</w:t>
      </w:r>
    </w:p>
    <w:p>
      <w:pPr>
        <w:spacing w:after="120"/>
      </w:pPr>
      <w:r>
        <w:rPr>
          <w:color w:val="6B7280"/>
          <w:sz w:val="22"/>
        </w:rPr>
        <w:t>Esta sección es de lectura; no tiene interacciones.</w:t>
      </w:r>
    </w:p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7. Sección de Fuentes Bibliográficas</w:t>
      </w:r>
    </w:p>
    <w:p>
      <w:pPr>
        <w:spacing w:after="120"/>
      </w:pPr>
      <w:r>
        <w:rPr>
          <w:color w:val="374151"/>
          <w:sz w:val="22"/>
        </w:rPr>
        <w:t>En la parte inferior del sitio (fondo oscuro) encontrarás las 17 referencias bibliográficas que respaldan todo el contenido del sitio.</w:t>
      </w:r>
    </w:p>
    <w:p>
      <w:pPr>
        <w:pStyle w:val="Heading2"/>
        <w:spacing w:before="360" w:after="120"/>
      </w:pPr>
      <w:r>
        <w:rPr>
          <w:b/>
          <w:color w:val="1E3A5F"/>
          <w:sz w:val="28"/>
        </w:rPr>
        <w:t>7.1 Filtrar por Subtema</w:t>
      </w:r>
    </w:p>
    <w:p>
      <w:pPr>
        <w:spacing w:after="120"/>
      </w:pPr>
      <w:r>
        <w:rPr>
          <w:color w:val="374151"/>
          <w:sz w:val="22"/>
        </w:rPr>
        <w:t>Cinco botones en la parte superior permiten filtrar las referencias: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Botón</w:t>
            </w:r>
          </w:p>
        </w:tc>
        <w:tc>
          <w:tcPr>
            <w:tcW w:type="dxa" w:w="566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Muestra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color w:val="374151"/>
                <w:sz w:val="20"/>
              </w:rPr>
              <w:t>Todas (17)</w:t>
            </w:r>
          </w:p>
        </w:tc>
        <w:tc>
          <w:tcPr>
            <w:tcW w:type="dxa" w:w="5669"/>
            <w:shd w:val="clear" w:color="auto" w:fill="EFF6FF"/>
          </w:tcPr>
          <w:p>
            <w:r>
              <w:rPr>
                <w:color w:val="374151"/>
                <w:sz w:val="20"/>
              </w:rPr>
              <w:t>Todas las referencias bibliográficas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374151"/>
                <w:sz w:val="20"/>
              </w:rPr>
              <w:t>Explícito vs Tácito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374151"/>
                <w:sz w:val="20"/>
              </w:rPr>
              <w:t>Solo fuentes del Subtema 1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color w:val="374151"/>
                <w:sz w:val="20"/>
              </w:rPr>
              <w:t>Innovación y Cultura</w:t>
            </w:r>
          </w:p>
        </w:tc>
        <w:tc>
          <w:tcPr>
            <w:tcW w:type="dxa" w:w="5669"/>
            <w:shd w:val="clear" w:color="auto" w:fill="EFF6FF"/>
          </w:tcPr>
          <w:p>
            <w:r>
              <w:rPr>
                <w:color w:val="374151"/>
                <w:sz w:val="20"/>
              </w:rPr>
              <w:t>Solo fuentes del Subtema 2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374151"/>
                <w:sz w:val="20"/>
              </w:rPr>
              <w:t>Trabajo Colaborativo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374151"/>
                <w:sz w:val="20"/>
              </w:rPr>
              <w:t>Solo fuentes del Subtema 3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color w:val="374151"/>
                <w:sz w:val="20"/>
              </w:rPr>
              <w:t>Aprendizaje</w:t>
            </w:r>
          </w:p>
        </w:tc>
        <w:tc>
          <w:tcPr>
            <w:tcW w:type="dxa" w:w="5669"/>
            <w:shd w:val="clear" w:color="auto" w:fill="EFF6FF"/>
          </w:tcPr>
          <w:p>
            <w:r>
              <w:rPr>
                <w:color w:val="374151"/>
                <w:sz w:val="20"/>
              </w:rPr>
              <w:t>Solo fuentes del Subtema 4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E3A5F"/>
          <w:sz w:val="28"/>
        </w:rPr>
        <w:t>7.2 Tarjetas de Referencias</w:t>
      </w:r>
    </w:p>
    <w:p>
      <w:pPr>
        <w:spacing w:after="120"/>
      </w:pPr>
      <w:r>
        <w:rPr>
          <w:color w:val="374151"/>
          <w:sz w:val="22"/>
        </w:rPr>
        <w:t>Cada tarjeta muestra:</w:t>
      </w:r>
    </w:p>
    <w:p>
      <w:pPr>
        <w:pStyle w:val="ListBullet"/>
        <w:spacing w:after="60"/>
      </w:pPr>
      <w:r>
        <w:rPr>
          <w:color w:val="374151"/>
          <w:sz w:val="22"/>
        </w:rPr>
        <w:t>#Número de referencia (esquina superior izquierda).</w:t>
      </w:r>
    </w:p>
    <w:p>
      <w:pPr>
        <w:pStyle w:val="ListBullet"/>
        <w:spacing w:after="60"/>
      </w:pPr>
      <w:r>
        <w:rPr>
          <w:color w:val="374151"/>
          <w:sz w:val="22"/>
        </w:rPr>
        <w:t>Tipo de fuente: Libro (azul), Artículo (verde) o Informe (ámbar).</w:t>
      </w:r>
    </w:p>
    <w:p>
      <w:pPr>
        <w:pStyle w:val="ListBullet"/>
        <w:spacing w:after="60"/>
      </w:pPr>
      <w:r>
        <w:rPr>
          <w:color w:val="374151"/>
          <w:sz w:val="22"/>
        </w:rPr>
        <w:t>Subtemas a los que aplica la fuente.</w:t>
      </w:r>
    </w:p>
    <w:p>
      <w:pPr>
        <w:pStyle w:val="ListBullet"/>
        <w:spacing w:after="60"/>
      </w:pPr>
      <w:r>
        <w:rPr>
          <w:color w:val="374151"/>
          <w:sz w:val="22"/>
        </w:rPr>
        <w:t>Título completo de la obra, autores y año.</w:t>
      </w:r>
    </w:p>
    <w:p>
      <w:pPr>
        <w:pStyle w:val="ListBullet"/>
        <w:spacing w:after="60"/>
      </w:pPr>
      <w:r>
        <w:rPr>
          <w:color w:val="374151"/>
          <w:sz w:val="22"/>
        </w:rPr>
        <w:t>Datos adicionales: editorial, ISBN, revista, volumen, páginas o DOI según corresponda.</w:t>
      </w:r>
    </w:p>
    <w:p>
      <w:pPr>
        <w:pStyle w:val="Heading2"/>
        <w:spacing w:before="360" w:after="120"/>
      </w:pPr>
      <w:r>
        <w:rPr>
          <w:b/>
          <w:color w:val="1E3A5F"/>
          <w:sz w:val="28"/>
        </w:rPr>
        <w:t>7.3 Acceder a las Fuentes</w:t>
      </w:r>
    </w:p>
    <w:p>
      <w:pPr>
        <w:pStyle w:val="ListBullet"/>
        <w:spacing w:after="60"/>
      </w:pPr>
      <w:r>
        <w:rPr>
          <w:b/>
          <w:color w:val="2563EB"/>
          <w:sz w:val="22"/>
        </w:rPr>
        <w:t xml:space="preserve">Botón verde "Ver artículo (DOI)": </w:t>
      </w:r>
      <w:r>
        <w:rPr>
          <w:color w:val="374151"/>
          <w:sz w:val="22"/>
        </w:rPr>
        <w:t>Disponible para artículos científicos. Te dirige al artículo original vía DOI (identificador permanente).</w:t>
      </w:r>
    </w:p>
    <w:p>
      <w:pPr>
        <w:pStyle w:val="ListBullet"/>
        <w:spacing w:after="60"/>
      </w:pPr>
      <w:r>
        <w:rPr>
          <w:b/>
          <w:color w:val="2563EB"/>
          <w:sz w:val="22"/>
        </w:rPr>
        <w:t xml:space="preserve">Botón azul "Ver fuente": </w:t>
      </w:r>
      <w:r>
        <w:rPr>
          <w:color w:val="374151"/>
          <w:sz w:val="22"/>
        </w:rPr>
        <w:t>Disponible para libros e informes. Te dirige al catálogo Open Library, Harvard Business Review o McKinsey según la fuente.</w:t>
      </w:r>
    </w:p>
    <w:p>
      <w:pPr>
        <w:spacing w:after="120"/>
      </w:pPr>
      <w:r>
        <w:rPr>
          <w:color w:val="6B7280"/>
          <w:sz w:val="22"/>
        </w:rPr>
        <w:t>Todos los enlaces se abren en una nueva pestaña para no perder tu posición en el sitio.</w:t>
      </w:r>
    </w:p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8. Pie de Página (Footer)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566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color w:val="374151"/>
                <w:sz w:val="20"/>
              </w:rPr>
              <w:t>Gestión del Conocimiento</w:t>
            </w:r>
          </w:p>
        </w:tc>
        <w:tc>
          <w:tcPr>
            <w:tcW w:type="dxa" w:w="5669"/>
            <w:shd w:val="clear" w:color="auto" w:fill="EFF6FF"/>
          </w:tcPr>
          <w:p>
            <w:r>
              <w:rPr>
                <w:color w:val="374151"/>
                <w:sz w:val="20"/>
              </w:rPr>
              <w:t>Descripción breve del proyecto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374151"/>
                <w:sz w:val="20"/>
              </w:rPr>
              <w:t>Subtemas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374151"/>
                <w:sz w:val="20"/>
              </w:rPr>
              <w:t>Links rápidos a las cuatro secciones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color w:val="374151"/>
                <w:sz w:val="20"/>
              </w:rPr>
              <w:t>Recursos</w:t>
            </w:r>
          </w:p>
        </w:tc>
        <w:tc>
          <w:tcPr>
            <w:tcW w:type="dxa" w:w="5669"/>
            <w:shd w:val="clear" w:color="auto" w:fill="EFF6FF"/>
          </w:tcPr>
          <w:p>
            <w:r>
              <w:rPr>
                <w:color w:val="374151"/>
                <w:sz w:val="20"/>
              </w:rPr>
              <w:t>Links a la bibliografía y tres fuentes clave externas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374151"/>
                <w:sz w:val="20"/>
              </w:rPr>
              <w:t>Integrantes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374151"/>
                <w:sz w:val="20"/>
              </w:rPr>
              <w:t>Lista completa del equipo de trabajo</w:t>
            </w:r>
          </w:p>
        </w:tc>
      </w:tr>
    </w:tbl>
    <w:p/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9. Navegación con el Teclado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Tecla</w:t>
            </w:r>
          </w:p>
        </w:tc>
        <w:tc>
          <w:tcPr>
            <w:tcW w:type="dxa" w:w="62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color w:val="374151"/>
                <w:sz w:val="20"/>
              </w:rPr>
              <w:t>Tab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color w:val="374151"/>
                <w:sz w:val="20"/>
              </w:rPr>
              <w:t>Avanza al siguiente elemento interactivo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374151"/>
                <w:sz w:val="20"/>
              </w:rPr>
              <w:t>Shift + Tab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374151"/>
                <w:sz w:val="20"/>
              </w:rPr>
              <w:t>Retrocede al elemento anterior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color w:val="374151"/>
                <w:sz w:val="20"/>
              </w:rPr>
              <w:t>Enter / Space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color w:val="374151"/>
                <w:sz w:val="20"/>
              </w:rPr>
              <w:t>Activa el elemento seleccionado (links, botones)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374151"/>
                <w:sz w:val="20"/>
              </w:rPr>
              <w:t>↑ / ↓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374151"/>
                <w:sz w:val="20"/>
              </w:rPr>
              <w:t>Desplazamiento vertical de la página</w:t>
            </w:r>
          </w:p>
        </w:tc>
      </w:tr>
    </w:tbl>
    <w:p/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10. Uso en Dispositivos Móviles</w:t>
      </w:r>
    </w:p>
    <w:p>
      <w:pPr>
        <w:spacing w:after="120"/>
      </w:pPr>
      <w:r>
        <w:rPr>
          <w:color w:val="374151"/>
          <w:sz w:val="22"/>
        </w:rPr>
        <w:t>El sitio está diseñado con enfoque mobile-first y se adapta a cualquier tamaño de pantalla:</w:t>
      </w:r>
    </w:p>
    <w:p>
      <w:pPr>
        <w:pStyle w:val="ListBullet"/>
        <w:spacing w:after="60"/>
      </w:pPr>
      <w:r>
        <w:rPr>
          <w:color w:val="374151"/>
          <w:sz w:val="22"/>
        </w:rPr>
        <w:t>Menú hamburger para navegación en pantallas pequeñas.</w:t>
      </w:r>
    </w:p>
    <w:p>
      <w:pPr>
        <w:pStyle w:val="ListBullet"/>
        <w:spacing w:after="60"/>
      </w:pPr>
      <w:r>
        <w:rPr>
          <w:color w:val="374151"/>
          <w:sz w:val="22"/>
        </w:rPr>
        <w:t>Estadísticas, bloques de contenido y videos pasan de múltiples columnas a 1 columna en móvil.</w:t>
      </w:r>
    </w:p>
    <w:p>
      <w:pPr>
        <w:pStyle w:val="ListBullet"/>
        <w:spacing w:after="60"/>
      </w:pPr>
      <w:r>
        <w:rPr>
          <w:color w:val="374151"/>
          <w:sz w:val="22"/>
        </w:rPr>
        <w:t>La bibliografía pasa de 2 columnas a 1 columna en móvil.</w:t>
      </w:r>
    </w:p>
    <w:p>
      <w:pPr>
        <w:spacing w:after="120"/>
      </w:pPr>
      <w:r>
        <w:rPr>
          <w:color w:val="6B7280"/>
          <w:sz w:val="22"/>
        </w:rPr>
        <w:t>Para una experiencia óptima de video en móvil, rota el dispositivo a orientación horizontal (modo paisaje).</w:t>
      </w:r>
    </w:p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11. Preguntas Frecuentes</w:t>
      </w:r>
    </w:p>
    <w:p>
      <w:pPr>
        <w:pStyle w:val="Heading3"/>
        <w:spacing w:before="160" w:after="120"/>
      </w:pPr>
      <w:r>
        <w:rPr>
          <w:b/>
          <w:color w:val="2563EB"/>
          <w:sz w:val="24"/>
        </w:rPr>
        <w:t>¿El sitio requiere conexión a internet?</w:t>
      </w:r>
    </w:p>
    <w:p>
      <w:pPr>
        <w:spacing w:after="80"/>
      </w:pPr>
      <w:r>
        <w:rPr>
          <w:color w:val="374151"/>
          <w:sz w:val="22"/>
        </w:rPr>
        <w:t>Sí. Los videos de YouTube requieren conexión activa para cargar y reproducirse.</w:t>
      </w:r>
    </w:p>
    <w:p>
      <w:pPr>
        <w:pStyle w:val="Heading3"/>
        <w:spacing w:before="160" w:after="120"/>
      </w:pPr>
      <w:r>
        <w:rPr>
          <w:b/>
          <w:color w:val="2563EB"/>
          <w:sz w:val="24"/>
        </w:rPr>
        <w:t>¿Por qué algunos videos tardan en cargar?</w:t>
      </w:r>
    </w:p>
    <w:p>
      <w:pPr>
        <w:spacing w:after="80"/>
      </w:pPr>
      <w:r>
        <w:rPr>
          <w:color w:val="374151"/>
          <w:sz w:val="22"/>
        </w:rPr>
        <w:t>Los videos usan carga diferida (lazy loading). El reproductor cargará al llegar a esa sección de la página.</w:t>
      </w:r>
    </w:p>
    <w:p>
      <w:pPr>
        <w:pStyle w:val="Heading3"/>
        <w:spacing w:before="160" w:after="120"/>
      </w:pPr>
      <w:r>
        <w:rPr>
          <w:b/>
          <w:color w:val="2563EB"/>
          <w:sz w:val="24"/>
        </w:rPr>
        <w:t>¿Puedo descargar el contenido?</w:t>
      </w:r>
    </w:p>
    <w:p>
      <w:pPr>
        <w:spacing w:after="80"/>
      </w:pPr>
      <w:r>
        <w:rPr>
          <w:color w:val="374151"/>
          <w:sz w:val="22"/>
        </w:rPr>
        <w:t>El texto puede copiarse para uso educativo. Los videos deben reproducirse desde YouTube.</w:t>
      </w:r>
    </w:p>
    <w:p>
      <w:pPr>
        <w:pStyle w:val="Heading3"/>
        <w:spacing w:before="160" w:after="120"/>
      </w:pPr>
      <w:r>
        <w:rPr>
          <w:b/>
          <w:color w:val="2563EB"/>
          <w:sz w:val="24"/>
        </w:rPr>
        <w:t>¿Las fuentes bibliográficas son verificables?</w:t>
      </w:r>
    </w:p>
    <w:p>
      <w:pPr>
        <w:spacing w:after="80"/>
      </w:pPr>
      <w:r>
        <w:rPr>
          <w:color w:val="374151"/>
          <w:sz w:val="22"/>
        </w:rPr>
        <w:t>Sí. Cada fuente tiene un botón que dirige al artículo original (DOI) o al registro del libro (Open Library). Los DOI son identificadores permanentes internacionales.</w:t>
      </w:r>
    </w:p>
    <w:p>
      <w:pPr>
        <w:pStyle w:val="Heading3"/>
        <w:spacing w:before="160" w:after="120"/>
      </w:pPr>
      <w:r>
        <w:rPr>
          <w:b/>
          <w:color w:val="2563EB"/>
          <w:sz w:val="24"/>
        </w:rPr>
        <w:t>¿El sitio funciona sin JavaScript?</w:t>
      </w:r>
    </w:p>
    <w:p>
      <w:pPr>
        <w:spacing w:after="80"/>
      </w:pPr>
      <w:r>
        <w:rPr>
          <w:color w:val="374151"/>
          <w:sz w:val="22"/>
        </w:rPr>
        <w:t>No. Al ser una aplicación React (Next.js), requiere JavaScript habilitado en el navegador.</w:t>
      </w:r>
    </w:p>
    <w:p>
      <w:pPr>
        <w:pStyle w:val="Heading3"/>
        <w:spacing w:before="160" w:after="120"/>
      </w:pPr>
      <w:r>
        <w:rPr>
          <w:b/>
          <w:color w:val="2563EB"/>
          <w:sz w:val="24"/>
        </w:rPr>
        <w:t>¿Cómo vuelvo al inicio?</w:t>
      </w:r>
    </w:p>
    <w:p>
      <w:pPr>
        <w:spacing w:after="80"/>
      </w:pPr>
      <w:r>
        <w:rPr>
          <w:color w:val="374151"/>
          <w:sz w:val="22"/>
        </w:rPr>
        <w:t>Haz clic en el logo 🧩 en la esquina superior izquierda, o selecciona "Inicio" en el menú.</w:t>
      </w:r>
    </w:p>
    <w:p>
      <w:pPr>
        <w:jc w:val="right"/>
      </w:pPr>
      <w:r>
        <w:rPr>
          <w:i/>
          <w:color w:val="6B7280"/>
          <w:sz w:val="18"/>
        </w:rPr>
        <w:t>Manual de usuario — versión 1.0 · mayo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