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61C9" w:rsidRDefault="001A60B3" w:rsidP="00F661C9">
      <w:pPr>
        <w:jc w:val="center"/>
        <w:rPr>
          <w:sz w:val="32"/>
          <w:szCs w:val="32"/>
        </w:rPr>
      </w:pPr>
      <w:r w:rsidRPr="001A60B3">
        <w:rPr>
          <w:sz w:val="32"/>
          <w:szCs w:val="32"/>
        </w:rPr>
        <w:t>Exercise 2.B Creating a Learning Project</w:t>
      </w:r>
    </w:p>
    <w:p w:rsidR="00F661C9" w:rsidRDefault="00F661C9" w:rsidP="00F661C9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2708406F" wp14:editId="029CACCF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943600" cy="3447415"/>
            <wp:effectExtent l="0" t="0" r="0" b="63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04 123742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661C9" w:rsidRPr="00F661C9" w:rsidRDefault="00F661C9" w:rsidP="00F661C9">
      <w:pPr>
        <w:rPr>
          <w:sz w:val="24"/>
          <w:szCs w:val="24"/>
        </w:rPr>
      </w:pPr>
      <w:r w:rsidRPr="00F661C9">
        <w:rPr>
          <w:sz w:val="24"/>
          <w:szCs w:val="24"/>
        </w:rPr>
        <w:t>The persistent instructions helped g</w:t>
      </w:r>
      <w:r>
        <w:rPr>
          <w:sz w:val="24"/>
          <w:szCs w:val="24"/>
        </w:rPr>
        <w:t xml:space="preserve">uide the response to focus on </w:t>
      </w:r>
      <w:r w:rsidRPr="00F661C9">
        <w:rPr>
          <w:sz w:val="24"/>
          <w:szCs w:val="24"/>
        </w:rPr>
        <w:t>clear, beg</w:t>
      </w:r>
      <w:r>
        <w:rPr>
          <w:sz w:val="24"/>
          <w:szCs w:val="24"/>
        </w:rPr>
        <w:t>inner-friendly explanations</w:t>
      </w:r>
      <w:r w:rsidRPr="00F661C9">
        <w:rPr>
          <w:sz w:val="24"/>
          <w:szCs w:val="24"/>
        </w:rPr>
        <w:t xml:space="preserve"> for data analytics con</w:t>
      </w:r>
      <w:r>
        <w:rPr>
          <w:sz w:val="24"/>
          <w:szCs w:val="24"/>
        </w:rPr>
        <w:t xml:space="preserve">cepts. They made the examples </w:t>
      </w:r>
      <w:r w:rsidRPr="00F661C9">
        <w:rPr>
          <w:sz w:val="24"/>
          <w:szCs w:val="24"/>
        </w:rPr>
        <w:t>simple,</w:t>
      </w:r>
      <w:r>
        <w:rPr>
          <w:sz w:val="24"/>
          <w:szCs w:val="24"/>
        </w:rPr>
        <w:t xml:space="preserve"> small, and easy to understand</w:t>
      </w:r>
      <w:r w:rsidRPr="00F661C9">
        <w:rPr>
          <w:sz w:val="24"/>
          <w:szCs w:val="24"/>
        </w:rPr>
        <w:t>, which is helpful for learners just starting out. The instructio</w:t>
      </w:r>
      <w:r>
        <w:rPr>
          <w:sz w:val="24"/>
          <w:szCs w:val="24"/>
        </w:rPr>
        <w:t xml:space="preserve">ns also encouraged the use of </w:t>
      </w:r>
      <w:r w:rsidRPr="00F661C9">
        <w:rPr>
          <w:sz w:val="24"/>
          <w:szCs w:val="24"/>
        </w:rPr>
        <w:t>step-by-step tables and practical ex</w:t>
      </w:r>
      <w:r>
        <w:rPr>
          <w:sz w:val="24"/>
          <w:szCs w:val="24"/>
        </w:rPr>
        <w:t>amples</w:t>
      </w:r>
      <w:r w:rsidRPr="00F661C9">
        <w:rPr>
          <w:sz w:val="24"/>
          <w:szCs w:val="24"/>
        </w:rPr>
        <w:t>, making the content m</w:t>
      </w:r>
      <w:r>
        <w:rPr>
          <w:sz w:val="24"/>
          <w:szCs w:val="24"/>
        </w:rPr>
        <w:t>ore interactive and applicable.</w:t>
      </w:r>
      <w:bookmarkStart w:id="0" w:name="_GoBack"/>
      <w:bookmarkEnd w:id="0"/>
    </w:p>
    <w:sectPr w:rsidR="00F661C9" w:rsidRPr="00F661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FE7"/>
    <w:rsid w:val="001A60B3"/>
    <w:rsid w:val="0038625A"/>
    <w:rsid w:val="00C45FE7"/>
    <w:rsid w:val="00F66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349ED"/>
  <w15:chartTrackingRefBased/>
  <w15:docId w15:val="{C8AEC6E5-E9B8-483A-B434-B10AA5F17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16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Dania</dc:creator>
  <cp:keywords/>
  <dc:description/>
  <cp:lastModifiedBy>Dania</cp:lastModifiedBy>
  <cp:revision>2</cp:revision>
  <dcterms:created xsi:type="dcterms:W3CDTF">2026-04-04T16:26:00Z</dcterms:created>
  <dcterms:modified xsi:type="dcterms:W3CDTF">2026-04-04T16:43:00Z</dcterms:modified>
</cp:coreProperties>
</file>