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Document Information</w:t>
      </w:r>
    </w:p>
    <w:tbl>
      <w:tblPr>
        <w:tblStyle w:val="TableGrid"/>
        <w:tblW w:type="auto" w:w="0"/>
        <w:jc w:val="left"/>
        <w:tblLook w:firstColumn="1" w:firstRow="1" w:lastColumn="0" w:lastRow="0" w:noHBand="0" w:noVBand="1" w:val="04A0"/>
      </w:tblPr>
      <w:tblGrid>
        <w:gridCol w:w="4703"/>
        <w:gridCol w:w="4703"/>
      </w:tblGrid>
      <w:tr>
        <w:tc>
          <w:tcPr>
            <w:tcW w:type="dxa" w:w="2268"/>
          </w:tcPr>
          <w:p>
            <w:r>
              <w:rPr>
                <w:b/>
              </w:rPr>
              <w:t>Field</w:t>
            </w:r>
          </w:p>
        </w:tc>
        <w:tc>
          <w:tcPr>
            <w:tcW w:type="dxa" w:w="6803"/>
          </w:tcPr>
          <w:p>
            <w:r>
              <w:rPr>
                <w:b/>
              </w:rPr>
              <w:t>Value</w:t>
            </w:r>
          </w:p>
        </w:tc>
      </w:tr>
      <w:tr>
        <w:tc>
          <w:tcPr>
            <w:tcW w:type="dxa" w:w="2268"/>
          </w:tcPr>
          <w:p>
            <w:r>
              <w:t>Surah Number</w:t>
            </w:r>
          </w:p>
        </w:tc>
        <w:tc>
          <w:tcPr>
            <w:tcW w:type="dxa" w:w="6803"/>
          </w:tcPr>
          <w:p>
            <w:r>
              <w:t>1</w:t>
            </w:r>
          </w:p>
        </w:tc>
      </w:tr>
      <w:tr>
        <w:tc>
          <w:tcPr>
            <w:tcW w:type="dxa" w:w="2268"/>
          </w:tcPr>
          <w:p>
            <w:r>
              <w:t>Author Name</w:t>
            </w:r>
          </w:p>
        </w:tc>
        <w:tc>
          <w:tcPr>
            <w:tcW w:type="dxa" w:w="6803"/>
          </w:tcPr>
          <w:p>
            <w:r>
              <w:t>Ahmed Raza Khan</w:t>
            </w:r>
          </w:p>
        </w:tc>
      </w:tr>
    </w:tbl>
    <w:p/>
    <w:p>
      <w:pPr>
        <w:pStyle w:val="Heading2"/>
      </w:pPr>
      <w:r>
        <w:t>English Tafsir</w:t>
      </w:r>
    </w:p>
    <w:tbl>
      <w:tblPr>
        <w:tblStyle w:val="TableGrid"/>
        <w:tblW w:type="auto" w:w="0"/>
        <w:jc w:val="left"/>
        <w:tblLook w:firstColumn="1" w:firstRow="1" w:lastColumn="0" w:lastRow="0" w:noHBand="0" w:noVBand="1" w:val="04A0"/>
      </w:tblPr>
      <w:tblGrid>
        <w:gridCol w:w="4703"/>
        <w:gridCol w:w="4703"/>
      </w:tblGrid>
      <w:tr>
        <w:tc>
          <w:tcPr>
            <w:tcW w:type="dxa" w:w="1417"/>
          </w:tcPr>
          <w:p>
            <w:r>
              <w:rPr>
                <w:b/>
                <w:sz w:val="18"/>
              </w:rPr>
              <w:t>Ayah Number</w:t>
            </w:r>
          </w:p>
        </w:tc>
        <w:tc>
          <w:tcPr>
            <w:tcW w:type="dxa" w:w="7937"/>
          </w:tcPr>
          <w:p>
            <w:r>
              <w:rPr>
                <w:b/>
                <w:sz w:val="18"/>
              </w:rPr>
              <w:t>Tafsir</w:t>
            </w:r>
          </w:p>
        </w:tc>
      </w:tr>
      <w:tr>
        <w:tc>
          <w:tcPr>
            <w:tcW w:type="dxa" w:w="1417"/>
          </w:tcPr>
          <w:p>
            <w:r>
              <w:rPr>
                <w:sz w:val="18"/>
              </w:rPr>
              <w:t>1</w:t>
            </w:r>
          </w:p>
        </w:tc>
        <w:tc>
          <w:tcPr>
            <w:tcW w:type="dxa" w:w="7937"/>
          </w:tcPr>
          <w:p>
            <w:r>
              <w:rPr>
                <w:sz w:val="18"/>
              </w:rPr>
              <w:t>This is the Bismillah. It is the opening phrase of the Quran and the key to understanding the divine message. It reminds believers that all actions should begin with the name of Allah, who is infinitely merciful.</w:t>
            </w:r>
          </w:p>
        </w:tc>
      </w:tr>
      <w:tr>
        <w:tc>
          <w:tcPr>
            <w:tcW w:type="dxa" w:w="1417"/>
          </w:tcPr>
          <w:p>
            <w:r>
              <w:rPr>
                <w:sz w:val="18"/>
              </w:rPr>
              <w:t>2</w:t>
            </w:r>
          </w:p>
        </w:tc>
        <w:tc>
          <w:tcPr>
            <w:tcW w:type="dxa" w:w="7937"/>
          </w:tcPr>
          <w:p>
            <w:r>
              <w:rPr>
                <w:sz w:val="18"/>
              </w:rPr>
              <w:t>Alhamdulillah - all perfect praise belongs to Allah alone. He is Rabb (Lord, Sustainer, Cherisher) of all the worlds (alamin). This establishes Allah's absolute sovereignty over all creation.</w:t>
            </w:r>
          </w:p>
        </w:tc>
      </w:tr>
      <w:tr>
        <w:tc>
          <w:tcPr>
            <w:tcW w:type="dxa" w:w="1417"/>
          </w:tcPr>
          <w:p>
            <w:r>
              <w:rPr>
                <w:sz w:val="18"/>
              </w:rPr>
              <w:t>3</w:t>
            </w:r>
          </w:p>
        </w:tc>
        <w:tc>
          <w:tcPr>
            <w:tcW w:type="dxa" w:w="7937"/>
          </w:tcPr>
          <w:p>
            <w:r>
              <w:rPr>
                <w:sz w:val="18"/>
              </w:rPr>
              <w:t>Ar-Rahman and Ar-Raheem are two attributes of Allah's mercy. Ar-Rahman refers to His universal mercy for all creation, while Ar-Raheem refers to His special mercy for the believers.</w:t>
            </w:r>
          </w:p>
        </w:tc>
      </w:tr>
      <w:tr>
        <w:tc>
          <w:tcPr>
            <w:tcW w:type="dxa" w:w="1417"/>
          </w:tcPr>
          <w:p>
            <w:r>
              <w:rPr>
                <w:sz w:val="18"/>
              </w:rPr>
              <w:t>4</w:t>
            </w:r>
          </w:p>
        </w:tc>
        <w:tc>
          <w:tcPr>
            <w:tcW w:type="dxa" w:w="7937"/>
          </w:tcPr>
          <w:p>
            <w:r>
              <w:rPr>
                <w:sz w:val="18"/>
              </w:rPr>
              <w:t>Maliki Yawm-id-Din - Allah is the sole Master of the Day of Judgment. This instills accountability in believers, knowing that they will be held responsible for their deeds.</w:t>
            </w:r>
          </w:p>
        </w:tc>
      </w:tr>
      <w:tr>
        <w:tc>
          <w:tcPr>
            <w:tcW w:type="dxa" w:w="1417"/>
          </w:tcPr>
          <w:p>
            <w:r>
              <w:rPr>
                <w:sz w:val="18"/>
              </w:rPr>
              <w:t>5</w:t>
            </w:r>
          </w:p>
        </w:tc>
        <w:tc>
          <w:tcPr>
            <w:tcW w:type="dxa" w:w="7937"/>
          </w:tcPr>
          <w:p>
            <w:r>
              <w:rPr>
                <w:sz w:val="18"/>
              </w:rPr>
              <w:t>This ayah establishes the fundamental principle of Tawheed in worship (Ibadah) and reliance (Isti'anah). Believers declare that they worship only Allah and seek help only from Him.</w:t>
            </w:r>
          </w:p>
        </w:tc>
      </w:tr>
      <w:tr>
        <w:tc>
          <w:tcPr>
            <w:tcW w:type="dxa" w:w="1417"/>
          </w:tcPr>
          <w:p>
            <w:r>
              <w:rPr>
                <w:sz w:val="18"/>
              </w:rPr>
              <w:t>6</w:t>
            </w:r>
          </w:p>
        </w:tc>
        <w:tc>
          <w:tcPr>
            <w:tcW w:type="dxa" w:w="7937"/>
          </w:tcPr>
          <w:p>
            <w:r>
              <w:rPr>
                <w:sz w:val="18"/>
              </w:rPr>
              <w:t>Ihdinas-Siratal-Mustaqeem - Guide us to the straight path. This is the most frequent dua in the Quran, asking Allah for continuous guidance to the path of truth and righteousness.</w:t>
            </w:r>
          </w:p>
        </w:tc>
      </w:tr>
      <w:tr>
        <w:tc>
          <w:tcPr>
            <w:tcW w:type="dxa" w:w="1417"/>
          </w:tcPr>
          <w:p>
            <w:r>
              <w:rPr>
                <w:sz w:val="18"/>
              </w:rPr>
              <w:t>7</w:t>
            </w:r>
          </w:p>
        </w:tc>
        <w:tc>
          <w:tcPr>
            <w:tcW w:type="dxa" w:w="7937"/>
          </w:tcPr>
          <w:p>
            <w:r>
              <w:rPr>
                <w:sz w:val="18"/>
              </w:rPr>
              <w:t>The straight path is the way of those blessed by Allah - the prophets, the truthful, the martyrs, and the righteous. It is not the path of those who earn Allah's anger or those who go astray.</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