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t>Surah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Author Name</w:t>
            </w:r>
          </w:p>
        </w:tc>
        <w:tc>
          <w:tcPr>
            <w:tcW w:type="dxa" w:w="6803"/>
          </w:tcPr>
          <w:p>
            <w:r>
              <w:t>Ahmed Raza Khan</w:t>
            </w:r>
          </w:p>
        </w:tc>
      </w:tr>
    </w:tbl>
    <w:p/>
    <w:p>
      <w:pPr>
        <w:pStyle w:val="Heading2"/>
      </w:pPr>
      <w:r>
        <w:t>English Translation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Ayah Number</w:t>
            </w:r>
          </w:p>
        </w:tc>
        <w:tc>
          <w:tcPr>
            <w:tcW w:type="dxa" w:w="7937"/>
          </w:tcPr>
          <w:p>
            <w:r>
              <w:rPr>
                <w:b/>
                <w:sz w:val="18"/>
              </w:rPr>
              <w:t>Translation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 the name of Allah, the Entirely Merciful, the Especially Merciful.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[All] praise is [due] to Allah, Lord of the worlds 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The Entirely Merciful, the Especially Merciful,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Sovereign of the Day of Recompense.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It is You we worship and You we ask for help.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Guide us to the straight path 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The path of those upon whom You have bestowed favor, not of those who have evoked [Your] anger or of those who are astray.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