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itle"/>
      </w:pPr>
      <w:r>
        <w:t>Manual técnico de KONOR</w:t>
      </w:r>
    </w:p>
    <w:p>
      <w:r>
        <w:t>Proyecto KONOR | Capstone | Fase 2</w:t>
        <w:br/>
        <w:t>Catalina Benítez Bravo y Danitza Arias Garrido</w:t>
        <w:br/>
        <w:t>MT01 | Versión 1.1 | 23 de octubre de 2026</w:t>
      </w:r>
    </w:p>
    <w:p>
      <w:r>
        <w:t>Este documento describe arquitectura, preparación del entorno y mantenimiento del incremento. Se alinea con el backlog y el Flujo Escrito 1.3. Conserva el código de referencia revisado; instalación y pruebas se documentarán al ejecutarse según calendario.</w:t>
      </w:r>
    </w:p>
    <w:p>
      <w:pPr>
        <w:pStyle w:val="Heading1"/>
      </w:pPr>
      <w:r>
        <w:t>1 Arquitectura de la aplicación</w:t>
      </w:r>
    </w:p>
    <w:p>
      <w:r>
        <w:t>El navegador ejecuta una aplicación React construida con Vite. La interfaz invoca servicios JavaScript y utiliza el cliente de Supabase para autenticar usuarios y consultar o modificar datos. Supabase provee autenticación y acceso a PostgreSQL. SheetJS procesa la importación y exportación de Excel.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6984"/>
      </w:tblGrid>
      <w:tr>
        <w:trPr>
          <w:cantSplit/>
          <w:tblHeader/>
        </w:trPr>
        <w:tc>
          <w:tcPr>
            <w:tcW w:type="dxa" w:w="194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Capa</w:t>
            </w:r>
          </w:p>
        </w:tc>
        <w:tc>
          <w:tcPr>
            <w:tcW w:type="dxa" w:w="69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Responsabilidad y ubicación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Inicio y sesión</w:t>
            </w:r>
          </w:p>
        </w:tc>
        <w:tc>
          <w:tcPr>
            <w:tcW w:type="dxa" w:w="69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src/main.jsx y src/App.jsx montan la aplicación y controlan sesión y navegación.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Interfaz</w:t>
            </w:r>
          </w:p>
        </w:tc>
        <w:tc>
          <w:tcPr>
            <w:tcW w:type="dxa" w:w="69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src/components/auth, directorio, configuracion y turnos contienen vistas y componentes.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Estado y lógica</w:t>
            </w:r>
          </w:p>
        </w:tc>
        <w:tc>
          <w:tcPr>
            <w:tcW w:type="dxa" w:w="69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Hooks de módulos y src/hooks organizan consultas y estado de pantalla.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Servicios</w:t>
            </w:r>
          </w:p>
        </w:tc>
        <w:tc>
          <w:tcPr>
            <w:tcW w:type="dxa" w:w="69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alumnosService.js y turnosService.js concentran parte de las operaciones. También hay llamadas directas a Supabase en componentes.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Cliente de datos</w:t>
            </w:r>
          </w:p>
        </w:tc>
        <w:tc>
          <w:tcPr>
            <w:tcW w:type="dxa" w:w="69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src/config/supabase.js lee la URL y clave pública del entorno.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Exportación</w:t>
            </w:r>
          </w:p>
        </w:tc>
        <w:tc>
          <w:tcPr>
            <w:tcW w:type="dxa" w:w="69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useTablaDirectorio.js genera el Excel básico; nominaService.js permanece vacío.</w:t>
            </w:r>
          </w:p>
        </w:tc>
      </w:tr>
    </w:tbl>
    <w:p>
      <w:r>
        <w:t>La autorización debe resolverse en el servicio de datos. La etiqueta Administrador de la interfaz no demuestra un control de permisos aplicado en el servidor. El esquema y las políticas reales se documentarán en la revisión de base de datos pendiente.</w:t>
      </w:r>
    </w:p>
    <w:p>
      <w:r>
        <w:br w:type="page"/>
      </w:r>
    </w:p>
    <w:p>
      <w:pPr>
        <w:pStyle w:val="Heading1"/>
      </w:pPr>
      <w:r>
        <w:t>2 Preparación y ejecución local</w:t>
      </w:r>
    </w:p>
    <w:p>
      <w:pPr>
        <w:pStyle w:val="Heading2"/>
      </w:pPr>
      <w:r>
        <w:t>Requisitos del entorno</w:t>
      </w:r>
    </w:p>
    <w:p>
      <w:r>
        <w:t>Disponer de Git, Node.js y npm compatibles con package-lock.json, un proyecto Supabase autorizado y una cuenta de desarrollo. Registrar la versión de Node.js realmente utilizada al instalar; no se acredita todavía una versión ejecutada por el equipo en esta entrega.</w:t>
      </w:r>
    </w:p>
    <w:p>
      <w:r>
        <w:t>1. Clonar el repositorio y entrar en su carpeta con los comandos indicados abajo.</w:t>
      </w:r>
    </w:p>
    <w:p>
      <w:r>
        <w:t>2. Instalar las dependencias con npm ci para respetar package-lock.json.</w:t>
      </w:r>
    </w:p>
    <w:p>
      <w:r>
        <w:t>3. Crear .env.local en la raíz y completar las dos variables del cliente.</w:t>
      </w:r>
    </w:p>
    <w:p>
      <w:r>
        <w:t>4. Confirmar que el entorno de desarrollo dispone del esquema compatible y de una cuenta autorizada. Este requisito se completará con la documentación real de base de datos.</w:t>
      </w:r>
    </w:p>
    <w:p>
      <w:r>
        <w:t>5. Iniciar Vite y abrir la dirección que indique la terminal.</w:t>
      </w:r>
    </w:p>
    <w:p>
      <w:pPr>
        <w:spacing w:after="60"/>
      </w:pPr>
      <w:r>
        <w:rPr>
          <w:rFonts w:ascii="Consolas" w:hAnsi="Consolas"/>
          <w:sz w:val="20"/>
        </w:rPr>
        <w:t>git clone https://github.com/daniariasg/Konor.git</w:t>
      </w:r>
    </w:p>
    <w:p>
      <w:pPr>
        <w:spacing w:after="60"/>
      </w:pPr>
      <w:r>
        <w:rPr>
          <w:rFonts w:ascii="Consolas" w:hAnsi="Consolas"/>
          <w:sz w:val="20"/>
        </w:rPr>
        <w:t>cd Konor</w:t>
      </w:r>
    </w:p>
    <w:p>
      <w:pPr>
        <w:spacing w:after="60"/>
      </w:pPr>
      <w:r>
        <w:rPr>
          <w:rFonts w:ascii="Consolas" w:hAnsi="Consolas"/>
          <w:sz w:val="20"/>
        </w:rPr>
        <w:t>npm ci</w:t>
      </w:r>
    </w:p>
    <w:p>
      <w:pPr>
        <w:spacing w:after="60"/>
      </w:pPr>
      <w:r>
        <w:rPr>
          <w:rFonts w:ascii="Consolas" w:hAnsi="Consolas"/>
          <w:sz w:val="20"/>
        </w:rPr>
        <w:t>VITE_SUPABASE_URL=https://TU_PROYECTO.supabase.co</w:t>
      </w:r>
    </w:p>
    <w:p>
      <w:pPr>
        <w:spacing w:after="60"/>
      </w:pPr>
      <w:r>
        <w:rPr>
          <w:rFonts w:ascii="Consolas" w:hAnsi="Consolas"/>
          <w:sz w:val="20"/>
        </w:rPr>
        <w:t>VITE_SUPABASE_ANON_KEY=TU_CLAVE_PUBLICA_DE_CLIENTE</w:t>
      </w:r>
    </w:p>
    <w:p>
      <w:pPr>
        <w:spacing w:after="60"/>
      </w:pPr>
      <w:r>
        <w:rPr>
          <w:rFonts w:ascii="Consolas" w:hAnsi="Consolas"/>
          <w:sz w:val="20"/>
        </w:rPr>
        <w:t>npm run dev</w:t>
      </w:r>
    </w:p>
    <w:p>
      <w:r>
        <w:t>Las variables VITE_ quedan disponibles en el navegador. Usar la clave pública prevista para el cliente; las credenciales privilegiadas no forman parte de esta configuración.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480"/>
      </w:tblGrid>
      <w:tr>
        <w:trPr>
          <w:cantSplit/>
          <w:tblHeader/>
        </w:trPr>
        <w:tc>
          <w:tcPr>
            <w:tcW w:type="dxa" w:w="2448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Comando</w:t>
            </w:r>
          </w:p>
        </w:tc>
        <w:tc>
          <w:tcPr>
            <w:tcW w:type="dxa" w:w="6480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Propósito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npm run build</w:t>
            </w:r>
          </w:p>
        </w:tc>
        <w:tc>
          <w:tcPr>
            <w:tcW w:type="dxa" w:w="6480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Generar el paquete de producción en dist.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npm run lint</w:t>
            </w:r>
          </w:p>
        </w:tc>
        <w:tc>
          <w:tcPr>
            <w:tcW w:type="dxa" w:w="6480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Ejecutar el análisis estático configurado.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npm run preview</w:t>
            </w:r>
          </w:p>
        </w:tc>
        <w:tc>
          <w:tcPr>
            <w:tcW w:type="dxa" w:w="6480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Previsualizar una compilación existente.</w:t>
            </w:r>
          </w:p>
        </w:tc>
      </w:tr>
    </w:tbl>
    <w:p>
      <w:r>
        <w:t>Los comandos están definidos en package.json. Este manual no los presenta como verificaciones aprobadas. No existe un script de pruebas automatizadas en la versión revisada.</w:t>
      </w:r>
    </w:p>
    <w:p>
      <w:r>
        <w:br w:type="page"/>
      </w:r>
    </w:p>
    <w:p>
      <w:pPr>
        <w:pStyle w:val="Heading1"/>
      </w:pPr>
      <w:r>
        <w:t>3 Flujos y reglas implementadas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056"/>
      </w:tblGrid>
      <w:tr>
        <w:trPr>
          <w:cantSplit/>
          <w:tblHeader/>
        </w:trPr>
        <w:tc>
          <w:tcPr>
            <w:tcW w:type="dxa" w:w="187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Flujo</w:t>
            </w:r>
          </w:p>
        </w:tc>
        <w:tc>
          <w:tcPr>
            <w:tcW w:type="dxa" w:w="705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Comportamiento observado en el código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Autenticación</w:t>
            </w:r>
          </w:p>
        </w:tc>
        <w:tc>
          <w:tcPr>
            <w:tcW w:type="dxa" w:w="705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Supabase Auth entrega la sesión. App.jsx abre Turnos y Eventos; Dashboard permanece deshabilitado y programado.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Directorio</w:t>
            </w:r>
          </w:p>
        </w:tc>
        <w:tc>
          <w:tcPr>
            <w:tcW w:type="dxa" w:w="705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Consulta alumnos y acumula horas por mes. El registro manual y la importación escriben a través de servicios y componentes.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Importación</w:t>
            </w:r>
          </w:p>
        </w:tc>
        <w:tc>
          <w:tcPr>
            <w:tcW w:type="dxa" w:w="705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ModalCargaMasiva.jsx lee la primera hoja, detecta columnas y gestiona coincidencias. El servicio usa upsert con conflicto por RUT.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Asignación</w:t>
            </w:r>
          </w:p>
        </w:tc>
        <w:tc>
          <w:tcPr>
            <w:tcW w:type="dxa" w:w="705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Interesados, cupos variables, titulares, espera y bajas codificados. Revisar reservas futuras y distinguir cancelación de eliminación.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Asistencia</w:t>
            </w:r>
          </w:p>
        </w:tc>
        <w:tc>
          <w:tcPr>
            <w:tcW w:type="dxa" w:w="705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Interfaz y cierre en integración. Revisar fecha de apertura HU13, horarios reales, fecha_cierre y respuestas del guardado.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Excel de salida</w:t>
            </w:r>
          </w:p>
        </w:tc>
        <w:tc>
          <w:tcPr>
            <w:tcW w:type="dxa" w:w="705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Nombre, RUN, Correo y Monto para alumnos filtrados. Redondeo de horas por 4.700; constante pendiente de confirmación institucional.</w:t>
            </w:r>
          </w:p>
        </w:tc>
      </w:tr>
    </w:tbl>
    <w:p>
      <w:pPr>
        <w:pStyle w:val="Heading2"/>
      </w:pPr>
      <w:r>
        <w:t>Decisiones de integración que requieren seguimiento</w:t>
      </w:r>
    </w:p>
    <w:p>
      <w:r>
        <w:t>El cálculo mensual debe distinguir horas validadas y reservadas sin duplicarlas. Las fechas de negocio deben verificarse con la zona America/Santiago, especialmente al cambiar de mes. La bitácora debe mantener el historial de actualizaciones y su autoría de manera coherente con la autenticación.</w:t>
      </w:r>
    </w:p>
    <w:p>
      <w:r>
        <w:t>El cierre requiere comprobar respuestas, persistir horarios reales y registrar fecha_cierre de forma consistente. El SQL recibido es un antecedente por conciliar con Supabase: su trigger depende de fecha_cierre y falta bitacora usada por la aplicación. El script escrito no acredita aplicación ni inmutabilidad validada.</w:t>
      </w:r>
    </w:p>
    <w:p>
      <w:pPr>
        <w:pStyle w:val="Heading2"/>
      </w:pPr>
      <w:r>
        <w:t>Módulos posteriores</w:t>
      </w:r>
    </w:p>
    <w:p>
      <w:r>
        <w:t>HU16 y HU17 mantienen programados ledger, tarifas y retenciones configurables. HU18 tiene exportación básica en desarrollo; la nómina integral y Dashboard siguen pendientes. El simulador HTML 1.3 utiliza datos en memoria y documenta un flujo ilustrativo.</w:t>
      </w:r>
    </w:p>
    <w:p>
      <w:r>
        <w:br w:type="page"/>
      </w:r>
    </w:p>
    <w:p>
      <w:pPr>
        <w:pStyle w:val="Heading1"/>
      </w:pPr>
      <w:r>
        <w:t>4 Mantenimiento y control de versiones</w:t>
      </w:r>
    </w:p>
    <w:p>
      <w:r>
        <w:t>1. Registrar una incidencia o cambio con módulo, historia relacionada y versión de origen.</w:t>
      </w:r>
    </w:p>
    <w:p>
      <w:r>
        <w:t>2. Crear una rama de trabajo y realizar el ajuste con cambios acotados. Mantener alineadas las consultas y sus contratos de datos.</w:t>
      </w:r>
    </w:p>
    <w:p>
      <w:r>
        <w:t>3. Ejecutar las verificaciones pertinentes cuando corresponda y registrar comandos, versión, fecha y resultados. Las pruebas formales siguen el calendario del proyecto.</w:t>
      </w:r>
    </w:p>
    <w:p>
      <w:r>
        <w:t>4. Revisar los cambios entre ambas y actualizar documentos. Organizar Fase 2 en Documentacion, Entrega individual y Entrega grupal. Mantener src, public y la configuración en la raíz del repositorio.</w:t>
      </w:r>
    </w:p>
    <w:p>
      <w:r>
        <w:t>5. Preparar la versión de entrega identificando el commit y el entorno. Confirmar el destino de publicación y su configuración antes del despliegue.</w:t>
      </w:r>
    </w:p>
    <w:p>
      <w:pPr>
        <w:pStyle w:val="Heading2"/>
      </w:pPr>
      <w:r>
        <w:t>Diagnóstico inicial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5904"/>
      </w:tblGrid>
      <w:tr>
        <w:trPr>
          <w:cantSplit/>
          <w:tblHeader/>
        </w:trPr>
        <w:tc>
          <w:tcPr>
            <w:tcW w:type="dxa" w:w="302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Síntoma</w:t>
            </w:r>
          </w:p>
        </w:tc>
        <w:tc>
          <w:tcPr>
            <w:tcW w:type="dxa" w:w="590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Revisión técnica inicial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No se inicia la aplicación</w:t>
            </w:r>
          </w:p>
        </w:tc>
        <w:tc>
          <w:tcPr>
            <w:tcW w:type="dxa" w:w="590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Comprobar instalación de dependencias, variables del entorno y mensajes de Vite.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La sesión no permite ingresar</w:t>
            </w:r>
          </w:p>
        </w:tc>
        <w:tc>
          <w:tcPr>
            <w:tcW w:type="dxa" w:w="590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Verificar la cuenta autorizada, conectividad y respuesta de Supabase Auth.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El directorio muestra cero horas</w:t>
            </w:r>
          </w:p>
        </w:tc>
        <w:tc>
          <w:tcPr>
            <w:tcW w:type="dxa" w:w="590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Revisar la consulta de asignaciones: el servicio puede devolver cero horas ante un error de esa consulta.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El cierre informa éxito pero faltan datos</w:t>
            </w:r>
          </w:p>
        </w:tc>
        <w:tc>
          <w:tcPr>
            <w:tcW w:type="dxa" w:w="590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Inspeccionar respuestas de actualización y persistencia de horarios; mantener la incidencia abierta hasta validarla.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No aparece Dashboard</w:t>
            </w:r>
          </w:p>
        </w:tc>
        <w:tc>
          <w:tcPr>
            <w:tcW w:type="dxa" w:w="590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Corresponde a un módulo deshabilitado en este incremento.</w:t>
            </w:r>
          </w:p>
        </w:tc>
      </w:tr>
    </w:tbl>
    <w:p>
      <w:pPr>
        <w:pStyle w:val="Heading2"/>
      </w:pPr>
      <w:r>
        <w:t>Registro de una versión</w:t>
      </w:r>
    </w:p>
    <w:p>
      <w:r>
        <w:t>Registrar commit, fecha, responsables, cambios y verificaciones. Las planillas de avance y final están personalizadas, con notas pendientes del docente. La presentación está disponible según el equipo; falta recibirla. SQL, políticas y recuperación se conciliarán al revisar la base de datos.</w:t>
      </w:r>
    </w:p>
    <w:p>
      <w:pPr>
        <w:pStyle w:val="Heading2"/>
      </w:pPr>
      <w:r>
        <w:t>Referencias de la versión documentada</w:t>
      </w:r>
    </w:p>
    <w:p>
      <w:r>
        <w:t>Repositorio: https://github.com/daniariasg/Konor</w:t>
        <w:br/>
        <w:t>Código de referencia: main 78d0dd8, revisado al 23/10/2026. Versión documental 1.1 alineada con backlog, 21 historias y Flujo Escrito 1.3. La actualización documental no acredita cambios nuevos en el código.</w:t>
      </w: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Documentación del proyecto KONOR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40" w:line="259" w:lineRule="auto" w:before="0"/>
    </w:pPr>
    <w:rPr>
      <w:rFonts w:ascii="Calibri" w:hAnsi="Calibri"/>
      <w:color w:val="000000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customStyle="1" w:styleId="Title">
    <w:name w:val="Title"/>
    <w:pPr>
      <w:spacing w:after="140" w:before="120"/>
    </w:pPr>
    <w:rPr>
      <w:rFonts w:ascii="Calibri" w:hAnsi="Calibri"/>
      <w:color w:val="000000"/>
      <w:sz w:val="40"/>
    </w:rPr>
  </w:style>
  <w:style w:type="paragraph" w:customStyle="1" w:styleId="Heading1">
    <w:name w:val="heading 1"/>
    <w:pPr>
      <w:spacing w:after="140" w:before="120"/>
    </w:pPr>
    <w:rPr>
      <w:rFonts w:ascii="Calibri" w:hAnsi="Calibri"/>
      <w:color w:val="000000"/>
      <w:sz w:val="30"/>
    </w:rPr>
  </w:style>
  <w:style w:type="paragraph" w:customStyle="1" w:styleId="Heading2">
    <w:name w:val="heading 2"/>
    <w:pPr>
      <w:spacing w:after="140" w:before="120"/>
    </w:pPr>
    <w:rPr>
      <w:rFonts w:ascii="Calibri" w:hAnsi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