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"/>
      </w:pPr>
      <w:r>
        <w:t>Manual de usuario de KONOR</w:t>
      </w:r>
    </w:p>
    <w:p>
      <w:r>
        <w:t>Proyecto KONOR | Capstone | Fase 2</w:t>
        <w:br/>
        <w:t>Catalina Benítez Bravo y Danitza Arias Garrido</w:t>
        <w:br/>
        <w:t>MU01 | Versión 1.1 | 23 de octubre de 2026</w:t>
      </w:r>
    </w:p>
    <w:p>
      <w:r>
        <w:t>Este manual orienta al administrador en directorio, carga de alumnos, turnos y asistencia. Se alinea con las 21 historias, el backlog y el Flujo Escrito 1.3. Describe la implementación en curso; su validación se realizará según el calendario.</w:t>
      </w:r>
    </w:p>
    <w:p>
      <w:pPr>
        <w:pStyle w:val="Heading1"/>
      </w:pPr>
      <w:r>
        <w:t>1 Acceso y navegación</w:t>
      </w:r>
    </w:p>
    <w:p>
      <w:r>
        <w:t>1. Abrir la dirección del entorno que el equipo habilite para el proyecto. Ingresar con una cuenta autorizada de administrador.</w:t>
      </w:r>
    </w:p>
    <w:p>
      <w:r>
        <w:t>2. Introducir correo y contraseña en la pantalla de acceso. Si el sistema rechaza los datos, comprobarlos y solicitar apoyo al responsable del entorno.</w:t>
      </w:r>
    </w:p>
    <w:p>
      <w:r>
        <w:t>3. Usar el menú lateral para abrir Turnos y Eventos, Alumnos Ayudantes o Carga Masiva (Excel). La vista inicial de esta versión es Turnos y Eventos.</w:t>
      </w:r>
    </w:p>
    <w:p>
      <w:r>
        <w:t>4. Al finalizar, usar Cerrar sesión en la parte inferior del menú lateral.</w:t>
      </w:r>
    </w:p>
    <w:p>
      <w:r>
        <w:t>Dashboard aparece deshabilitado y reservado para el Sprint 4. Los ajustes financieros y la nómina integral todavía no cuentan con un flujo completo de uso.</w:t>
      </w:r>
    </w:p>
    <w:p>
      <w:pPr>
        <w:pStyle w:val="Heading1"/>
      </w:pPr>
      <w:r>
        <w:t>2 Consultar el directorio</w:t>
      </w:r>
    </w:p>
    <w:p>
      <w:r>
        <w:t>1. Seleccionar Alumnos Ayudantes y escoger el mes de consulta. El año de referencia corresponde al año actual del equipo.</w:t>
      </w:r>
    </w:p>
    <w:p>
      <w:r>
        <w:t>2. Buscar por nombre, RUT o identificador. Usar los encabezados para ordenar y la paginación para recorrer los resultados.</w:t>
      </w:r>
    </w:p>
    <w:p>
      <w:r>
        <w:t>3. Abrir el perfil del alumno para revisar sus datos, historial mensual y bitácora. Antes de modificar, comprobar que corresponde a la persona seleccionada.</w:t>
      </w:r>
    </w:p>
    <w:p>
      <w:r>
        <w:t>Si la consulta falla, las horas pueden aparecer en cero en lugar de un resultado actualizado. Ante una inconsistencia, solicitar revisión antes de utilizar esos valores en una exportación.</w:t>
      </w:r>
    </w:p>
    <w:p>
      <w:r>
        <w:br w:type="page"/>
      </w:r>
    </w:p>
    <w:p>
      <w:pPr>
        <w:pStyle w:val="Heading1"/>
      </w:pPr>
      <w:r>
        <w:t>3 Registrar e importar alumnos</w:t>
      </w:r>
    </w:p>
    <w:p>
      <w:pPr>
        <w:pStyle w:val="Heading2"/>
      </w:pPr>
      <w:r>
        <w:t>Registro manual</w:t>
      </w:r>
    </w:p>
    <w:p>
      <w:r>
        <w:t>1. Abrir la opción de registro manual del directorio. Completar nombre, RUT, correo y jornada.</w:t>
      </w:r>
    </w:p>
    <w:p>
      <w:r>
        <w:t>2. Revisar el RUT y el correo antes de guardar. La jornada se selecciona entre Diurno y Vespertino.</w:t>
      </w:r>
    </w:p>
    <w:p>
      <w:r>
        <w:t>3. Si se detecta una coincidencia de RUT, revisar el registro existente y el motivo de cualquier cambio excepcional. Cancelar cuando no corresponda actualizarlo.</w:t>
      </w:r>
    </w:p>
    <w:p>
      <w:r>
        <w:t>4. Guardar y comprobar que el alumno aparece en el directorio. Registrar una incidencia si la confirmación y la información consultada no coinciden.</w:t>
      </w:r>
    </w:p>
    <w:p>
      <w:pPr>
        <w:pStyle w:val="Heading2"/>
      </w:pPr>
      <w:r>
        <w:t>Carga mediante planilla</w:t>
      </w:r>
    </w:p>
    <w:p>
      <w:r>
        <w:t>1. Seleccionar Carga Masiva (Excel) y luego Iniciar Carga Masiva. Descargar la plantilla de ejemplo desde el modal.</w:t>
      </w:r>
    </w:p>
    <w:p>
      <w:r>
        <w:t>2. Completar Nombre, RUT, Correo y Jornada en la primera hoja. El importador lee esa hoja; usar RUT como encabezado de entrada.</w:t>
      </w:r>
    </w:p>
    <w:p>
      <w:r>
        <w:t>3. Seleccionar el archivo y revisar los mensajes por campos faltantes o duplicados internos. Corregir el archivo cuando corresponda.</w:t>
      </w:r>
    </w:p>
    <w:p>
      <w:r>
        <w:t>4. Ante coincidencias con el directorio, elegir Importar solo nuevos o Sobreponer existentes. La sobrescritura exige una justificación para la bitácora.</w:t>
      </w:r>
    </w:p>
    <w:p>
      <w:r>
        <w:t>5. Esperar la respuesta del sistema y contrastar el resultado con el directorio. Conservar la planilla de origen y el mensaje de resultado en el registro de la actividad.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5904"/>
      </w:tblGrid>
      <w:tr>
        <w:trPr>
          <w:cantSplit/>
          <w:tblHeader/>
        </w:trPr>
        <w:tc>
          <w:tcPr>
            <w:tcW w:type="dxa" w:w="302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Situación</w:t>
            </w:r>
          </w:p>
        </w:tc>
        <w:tc>
          <w:tcPr>
            <w:tcW w:type="dxa" w:w="590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Acción del administrador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Encabezados o datos incompletos</w:t>
            </w:r>
          </w:p>
        </w:tc>
        <w:tc>
          <w:tcPr>
            <w:tcW w:type="dxa" w:w="590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Utilizar la plantilla descargada y completar los campos obligatorios.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RUT repetidos en el archivo</w:t>
            </w:r>
          </w:p>
        </w:tc>
        <w:tc>
          <w:tcPr>
            <w:tcW w:type="dxa" w:w="590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Revisar y depurar las filas antes de volver a cargar.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Datos existentes distintos</w:t>
            </w:r>
          </w:p>
        </w:tc>
        <w:tc>
          <w:tcPr>
            <w:tcW w:type="dxa" w:w="590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Verificar la fuente y justificar cualquier actualización.</w:t>
            </w:r>
          </w:p>
        </w:tc>
      </w:tr>
    </w:tbl>
    <w:p>
      <w:r>
        <w:br w:type="page"/>
      </w:r>
    </w:p>
    <w:p>
      <w:pPr>
        <w:pStyle w:val="Heading1"/>
      </w:pPr>
      <w:r>
        <w:t>4 Crear turnos y asignar ayudantes</w:t>
      </w:r>
    </w:p>
    <w:p>
      <w:r>
        <w:t>1. Coordinar externamente la disponibilidad de los ayudantes. Abrir Turnos y Eventos y la opción de creación; el MVP usa un único rol administrativo.</w:t>
      </w:r>
    </w:p>
    <w:p>
      <w:r>
        <w:t>2. Completar nombre del evento, fecha, hora de inicio, hora de término y cupos. El formulario admite entre 1 y 30 cupos y exige término posterior al inicio.</w:t>
      </w:r>
    </w:p>
    <w:p>
      <w:r>
        <w:t>3. Seleccionar Crear y Continuar al Detalle. Revisar fecha, horario y duración antes de agregar alumnos.</w:t>
      </w:r>
    </w:p>
    <w:p>
      <w:r>
        <w:t>4. Buscar por nombre o RUT y agregar interesados disponibles. Revisar las advertencias por superposición o por límite mensual de 60 horas.</w:t>
      </w:r>
    </w:p>
    <w:p>
      <w:r>
        <w:t>5. Revisar la tabla comparativa y utilizar Auto-asignar con menos horas. La cantidad de titulares depende de los cupos de cada turno; comprobar titulares y espera antes de guardar.</w:t>
      </w:r>
    </w:p>
    <w:p>
      <w:r>
        <w:t>6. Seleccionar Guardar turno. Para ajustes posteriores, usar Editar turno cuando el estado lo permita.</w:t>
      </w:r>
    </w:p>
    <w:p>
      <w:pPr>
        <w:pStyle w:val="Heading2"/>
      </w:pPr>
      <w:r>
        <w:t>Bajas y reemplazos</w:t>
      </w:r>
    </w:p>
    <w:p>
      <w:r>
        <w:t>En un turno asignado, retirar una titularidad abre el flujo de baja. Distinguir cancelación del alumno de error administrativo, registrar el motivo que corresponda y guardar el reemplazo. Verificar la bitácora y la liberación de horas reservadas durante la integración. Cancelar un turno debe conservar su trazabilidad.</w:t>
      </w:r>
    </w:p>
    <w:p>
      <w:pPr>
        <w:pStyle w:val="Heading2"/>
      </w:pPr>
      <w:r>
        <w:t>Controles que deben verificarse durante la integración</w:t>
      </w:r>
    </w:p>
    <w:p>
      <w:r>
        <w:t>El código contempla bloqueos por ocupación y límite mensual. La suma de reservas futuras y su interacción con las horas ejecutadas requieren revisión. Hasta completar esa validación, el administrador debe contrastar las asignaciones pendientes al revisar un nuevo turno.</w:t>
      </w:r>
    </w:p>
    <w:p>
      <w:r>
        <w:t>La autoasignación respalda el criterio de priorizar menos horas acumuladas; no constituye por sí sola evidencia de equidad validada en todos los escenarios. Los criterios de desempate deben quedar acordados antes de la validación formal.</w:t>
      </w:r>
    </w:p>
    <w:p>
      <w:r>
        <w:br w:type="page"/>
      </w:r>
    </w:p>
    <w:p>
      <w:pPr>
        <w:pStyle w:val="Heading1"/>
      </w:pPr>
      <w:r>
        <w:t>5 Registrar asistencia y exportar</w:t>
      </w:r>
    </w:p>
    <w:p>
      <w:pPr>
        <w:pStyle w:val="Heading2"/>
      </w:pPr>
      <w:r>
        <w:t>Lista de asistencia</w:t>
      </w:r>
    </w:p>
    <w:p>
      <w:r>
        <w:t>1. Desde un turno Asignado, seleccionar Abrir lista de asistencia. HU13 exige apertura el día del evento; esa restricción debe conciliarse con la habilitación actual por estado.</w:t>
      </w:r>
    </w:p>
    <w:p>
      <w:r>
        <w:t>2. Marcar presentes o ausentes y ajustar entrada y salida reales. El flujo objetivo impide horarios anteriores al inicio y exige salida posterior a entrada; permite el tiempo extra previsto.</w:t>
      </w:r>
    </w:p>
    <w:p>
      <w:r>
        <w:t>3. Contrastar las horas calculadas con el registro de asistencia. Los ausentes se muestran con cero horas.</w:t>
      </w:r>
    </w:p>
    <w:p>
      <w:r>
        <w:t>4. La interfaz ofrece Cerrar turno y sellar horas. En la validación programada se deberá comprobar el guardado, la recarga y la protección posterior de los registros.</w:t>
      </w:r>
    </w:p>
    <w:p>
      <w:r>
        <w:t>El cierre está en integración. Se identificó que la función debe comprobar los errores del guardado y persistir los horarios reales. El mensaje de éxito de la interfaz todavía no acredita la integridad ni la inmutabilidad de los datos.</w:t>
      </w:r>
    </w:p>
    <w:p>
      <w:pPr>
        <w:pStyle w:val="Heading2"/>
      </w:pPr>
      <w:r>
        <w:t>Exportación básica a Excel</w:t>
      </w:r>
    </w:p>
    <w:p>
      <w:r>
        <w:t>1. En Alumnos Ayudantes, escoger el mes y revisar la búsqueda aplicada. La exportación toma todos los resultados filtrados, no solo la página visible.</w:t>
      </w:r>
    </w:p>
    <w:p>
      <w:r>
        <w:t>2. Usar la opción de exportación del directorio. El archivo contiene Nombre, RUN, Correo y Monto.</w:t>
      </w:r>
    </w:p>
    <w:p>
      <w:r>
        <w:t>3. Revisar Konor_Nomina_mes_año.xlsx. Monto se calcula redondeando horas por la constante 4.700, pendiente de confirmación institucional. Retenciones, bruto, líquido y configuración financiera integral permanecen programados.</w:t>
      </w:r>
    </w:p>
    <w:p>
      <w:pPr>
        <w:pStyle w:val="Heading2"/>
      </w:pPr>
      <w:r>
        <w:t>Reportar una incidencia</w:t>
      </w:r>
    </w:p>
    <w:p>
      <w:r>
        <w:t>Anotar fecha, versión, módulo, acción realizada, mensaje recibido y resultado observado. Adjuntar evidencia con datos de prueba y enviar el registro al equipo por el canal que este acuerde. Evitar repetir una carga o un cierre sin comprobar primero el estado del registro.</w:t>
      </w:r>
    </w:p>
    <w:p>
      <w:pPr>
        <w:pStyle w:val="Heading2"/>
      </w:pPr>
      <w:r>
        <w:t>Referencias de la versión documentada</w:t>
      </w:r>
    </w:p>
    <w:p>
      <w:r>
        <w:t>Repositorio: https://github.com/daniariasg/Konor</w:t>
        <w:br/>
        <w:t>Código de referencia: main 78d0dd8, revisado al 23/10/2026. Versión documental 1.1 alineada con backlog, 21 historias y Flujo Escrito 1.3. La actualización documental no acredita cambios nuevos en el código.</w:t>
      </w: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Documentación del proyecto KONOR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40" w:line="259" w:lineRule="auto" w:before="0"/>
    </w:pPr>
    <w:rPr>
      <w:rFonts w:ascii="Calibri" w:hAnsi="Calibri"/>
      <w:color w:val="000000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customStyle="1" w:styleId="Title">
    <w:name w:val="Title"/>
    <w:pPr>
      <w:spacing w:after="140" w:before="120"/>
    </w:pPr>
    <w:rPr>
      <w:rFonts w:ascii="Calibri" w:hAnsi="Calibri"/>
      <w:color w:val="000000"/>
      <w:sz w:val="40"/>
    </w:rPr>
  </w:style>
  <w:style w:type="paragraph" w:customStyle="1" w:styleId="Heading1">
    <w:name w:val="heading 1"/>
    <w:pPr>
      <w:spacing w:after="140" w:before="120"/>
    </w:pPr>
    <w:rPr>
      <w:rFonts w:ascii="Calibri" w:hAnsi="Calibri"/>
      <w:color w:val="000000"/>
      <w:sz w:val="30"/>
    </w:rPr>
  </w:style>
  <w:style w:type="paragraph" w:customStyle="1" w:styleId="Heading2">
    <w:name w:val="heading 2"/>
    <w:pPr>
      <w:spacing w:after="140" w:before="120"/>
    </w:pPr>
    <w:rPr>
      <w:rFonts w:ascii="Calibri" w:hAnsi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