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4D3E"/>
        </w:rPr>
        <w:t>Medición, estimación y monitoreo: qué puede decir el Observatorio sobre servicios ecosistémicos</w:t>
      </w:r>
    </w:p>
    <w:p>
      <w:pPr>
        <w:spacing w:after="120"/>
      </w:pPr>
      <w:r>
        <w:rPr>
          <w:b/>
        </w:rPr>
        <w:t>Fecha:</w:t>
      </w:r>
      <w:r>
        <w:t xml:space="preserve"> 13 de agosto de 2026</w:t>
      </w:r>
    </w:p>
    <w:p>
      <w:pPr>
        <w:spacing w:after="120"/>
      </w:pPr>
      <w:r>
        <w:rPr>
          <w:b/>
        </w:rPr>
        <w:t>Corrige y reemplaza</w:t>
      </w:r>
      <w:r>
        <w:t xml:space="preserve"> lo dicho sobre carbono en </w:t>
      </w:r>
      <w:r>
        <w:rPr>
          <w:rFonts w:ascii="Consolas" w:hAnsi="Consolas"/>
          <w:sz w:val="19"/>
        </w:rPr>
        <w:t>FMA_2026_DISENO_CIENTIFICO.md</w:t>
      </w:r>
      <w:r>
        <w:t xml:space="preserve"> §9.</w:t>
      </w:r>
    </w:p>
    <w:p>
      <w:pPr>
        <w:spacing w:after="120"/>
      </w:pPr>
      <w:r>
        <w:rPr>
          <w:b/>
        </w:rPr>
        <w:t>Base:</w:t>
      </w:r>
      <w:r>
        <w:t xml:space="preserve"> </w:t>
      </w:r>
      <w:r>
        <w:rPr>
          <w:rFonts w:ascii="Consolas" w:hAnsi="Consolas"/>
          <w:sz w:val="19"/>
        </w:rPr>
        <w:t>SERVICIOS_ECOSISTEMICOS_E_INDICE.md</w:t>
      </w:r>
      <w:r>
        <w:t xml:space="preserve"> · Ordenanza 004/2021 Art. 32 · documentación oficial de i-Tree Eco v6.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1. Mi error, dicho derecho</w:t>
      </w:r>
    </w:p>
    <w:p>
      <w:pPr>
        <w:spacing w:after="120"/>
      </w:pPr>
      <w:r>
        <w:t xml:space="preserve">Escribí que el secuestro anual de CO₂ </w:t>
      </w:r>
      <w:r>
        <w:rPr>
          <w:b/>
        </w:rPr>
        <w:t>no se puede estimar</w:t>
      </w:r>
      <w:r>
        <w:t xml:space="preserve"> porque </w:t>
      </w:r>
      <w:r>
        <w:rPr>
          <w:i/>
        </w:rPr>
        <w:t>"requiere medir crecimiento, o sea dos mediciones separadas en el tiempo"</w:t>
      </w:r>
      <w:r>
        <w:t>.</w:t>
      </w:r>
    </w:p>
    <w:p>
      <w:pPr>
        <w:spacing w:after="120"/>
      </w:pPr>
      <w:r>
        <w:rPr>
          <w:b/>
        </w:rPr>
        <w:t>Eso es falso como lo dije.</w:t>
      </w:r>
      <w:r>
        <w:t xml:space="preserve"> Es cierto para el crecimiento </w:t>
      </w:r>
      <w:r>
        <w:rPr>
          <w:b/>
        </w:rPr>
        <w:t>medido</w:t>
      </w:r>
      <w:r>
        <w:t xml:space="preserve">, y falso para el secuestro </w:t>
      </w:r>
      <w:r>
        <w:rPr>
          <w:b/>
        </w:rPr>
        <w:t>estimado</w:t>
      </w:r>
      <w:r>
        <w:t>. Confundí dos cosas distintas, y tu objeción es correcta.</w:t>
      </w:r>
    </w:p>
    <w:p>
      <w:pPr>
        <w:spacing w:after="120"/>
      </w:pPr>
      <w:r>
        <w:t xml:space="preserve">La prueba está en la documentación oficial de i-Tree Eco que archivamos. Para el </w:t>
      </w:r>
      <w:r>
        <w:rPr>
          <w:b/>
        </w:rPr>
        <w:t>secuestro bruto de carbono</w:t>
      </w:r>
      <w:r>
        <w:t>, el modelo usa:</w:t>
      </w:r>
    </w:p>
    <w:p>
      <w:pPr>
        <w:ind w:left="432"/>
      </w:pPr>
      <w:r>
        <w:rPr>
          <w:i/>
          <w:color w:val="444444"/>
        </w:rPr>
        <w:t xml:space="preserve">Especie · DAP · Altura total · Uso de suelo · </w:t>
      </w:r>
      <w:r>
        <w:rPr>
          <w:b/>
          <w:i/>
          <w:color w:val="444444"/>
        </w:rPr>
        <w:t>Estado sanitario — para ajustar las tasas de crecimiento</w:t>
      </w:r>
      <w:r>
        <w:rPr>
          <w:i/>
          <w:color w:val="444444"/>
        </w:rPr>
        <w:t xml:space="preserve"> · </w:t>
      </w:r>
      <w:r>
        <w:rPr>
          <w:b/>
          <w:i/>
          <w:color w:val="444444"/>
        </w:rPr>
        <w:t>Exposición a la luz de la copa — para ajustar las tasas de crecimiento</w:t>
      </w:r>
    </w:p>
    <w:p>
      <w:pPr>
        <w:spacing w:after="120"/>
      </w:pPr>
      <w:r>
        <w:t xml:space="preserve">Es decir: </w:t>
      </w:r>
      <w:r>
        <w:rPr>
          <w:b/>
        </w:rPr>
        <w:t>i-Tree estima el secuestro anual a partir de un solo inventario</w:t>
      </w:r>
      <w:r>
        <w:t>, aplicando tasas de crecimiento por especie corregidas por la salud del árbol, su exposición a la luz y su emplazamiento. No necesita volver a medir.</w:t>
      </w:r>
    </w:p>
    <w:p>
      <w:pPr>
        <w:spacing w:after="120"/>
      </w:pPr>
      <w:r>
        <w:t xml:space="preserve">Lo que </w:t>
      </w:r>
      <w:r>
        <w:rPr>
          <w:b/>
        </w:rPr>
        <w:t>sí</w:t>
      </w:r>
      <w:r>
        <w:t xml:space="preserve"> requiere remedición es </w:t>
      </w:r>
      <w:r>
        <w:rPr>
          <w:i/>
        </w:rPr>
        <w:t>comprobar</w:t>
      </w:r>
      <w:r>
        <w:t xml:space="preserve"> si ese crecimiento estimado fue el real. Eso es validación, no estimación — y es justamente el segundo producto del Observatorio.</w:t>
      </w:r>
    </w:p>
    <w:p>
      <w:pPr>
        <w:spacing w:after="120"/>
      </w:pPr>
      <w:r>
        <w:rPr>
          <w:b/>
        </w:rPr>
        <w:t>Conclusión: el carbono vuelve al proyecto</w:t>
      </w:r>
      <w:r>
        <w:t>, con método declarado y límites explícitos.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2. Las tres categorías</w:t>
      </w:r>
    </w:p>
    <w:p>
      <w:pPr>
        <w:pStyle w:val="Heading3"/>
      </w:pPr>
      <w:r>
        <w:rPr>
          <w:color w:val="1B4D3E"/>
        </w:rPr>
        <w:t>Categoría 1 — LO QUE SE MIDE en terreno</w:t>
      </w:r>
    </w:p>
    <w:p>
      <w:pPr>
        <w:spacing w:after="120"/>
      </w:pPr>
      <w:r>
        <w:t>Dato tomado por una persona parada junto al árbol. Sin modelos de por medio.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Variable</w:t>
            </w:r>
          </w:p>
        </w:tc>
        <w:tc>
          <w:tcPr>
            <w:tcW w:type="dxa" w:w="288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Quién</w:t>
            </w:r>
          </w:p>
        </w:tc>
        <w:tc>
          <w:tcPr>
            <w:tcW w:type="dxa" w:w="288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Instrumento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Ubicación (coordenadas y referencia postal)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estudiante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celular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Especie </w:t>
            </w:r>
            <w:r>
              <w:rPr>
                <w:i/>
                <w:sz w:val="19"/>
              </w:rPr>
              <w:t>(propuesta en terreno, confirmada por especialista)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estudiante + especialista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fotos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Perímetro del tronco a 1,30 m</w:t>
            </w:r>
            <w:r>
              <w:rPr>
                <w:sz w:val="19"/>
              </w:rPr>
              <w:t xml:space="preserve"> → DAP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estudiante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huincha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Nº de fustes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estudiante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Altura total </w:t>
            </w:r>
            <w:r>
              <w:rPr>
                <w:i/>
                <w:sz w:val="19"/>
              </w:rPr>
              <w:t>(estimada)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estudiante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app o vara de referencia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Diámetro de copa en dos ejes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estudiante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pasos o huincha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Altura a la base de la copa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estudiante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estimación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Estado sanitario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estudiante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protocolo visual (ver §5)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Daños visibles (desmoche, heridas, cables)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estudiante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Emplazamiento</w:t>
            </w:r>
            <w:r>
              <w:rPr>
                <w:sz w:val="19"/>
              </w:rPr>
              <w:t xml:space="preserve"> (plaza / calle / bandejón / patio)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estudiante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Riqueza y cobertura de </w:t>
            </w:r>
            <w:r>
              <w:rPr>
                <w:b/>
                <w:sz w:val="19"/>
              </w:rPr>
              <w:t>líquenes</w:t>
            </w:r>
            <w:r>
              <w:rPr>
                <w:sz w:val="19"/>
              </w:rPr>
              <w:t xml:space="preserve"> (morfotipos)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estudiante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grilla de 10×10 cm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Presencia de </w:t>
            </w:r>
            <w:r>
              <w:rPr>
                <w:b/>
                <w:sz w:val="19"/>
              </w:rPr>
              <w:t>hongos</w:t>
            </w:r>
            <w:r>
              <w:rPr>
                <w:sz w:val="19"/>
              </w:rPr>
              <w:t>, artrópodos, epífitas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estudiante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foto → iNaturalist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Aves</w:t>
            </w:r>
            <w:r>
              <w:rPr>
                <w:sz w:val="19"/>
              </w:rPr>
              <w:t xml:space="preserve"> por punto de conteo (nivel sitio)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estudiante + especialista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10 min, radio fijo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Esfuerzo de muestreo (minutos)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estudiante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cronómetro</w:t>
            </w:r>
          </w:p>
        </w:tc>
      </w:tr>
    </w:tbl>
    <w:p/>
    <w:p>
      <w:pPr>
        <w:pStyle w:val="Heading3"/>
      </w:pPr>
      <w:r>
        <w:rPr>
          <w:color w:val="1B4D3E"/>
        </w:rPr>
        <w:t>Categoría 2 — LO QUE SE ESTIMA con modelos, desde una sola medición</w:t>
      </w:r>
    </w:p>
    <w:p>
      <w:pPr>
        <w:spacing w:after="120"/>
      </w:pPr>
      <w:r>
        <w:t xml:space="preserve">Todo esto </w:t>
      </w:r>
      <w:r>
        <w:rPr>
          <w:b/>
        </w:rPr>
        <w:t>sí entra en los nueve meses</w:t>
      </w:r>
      <w:r>
        <w:t>, con la metodología y su incertidumbre declaradas.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Indicador</w:t>
            </w:r>
          </w:p>
        </w:tc>
        <w:tc>
          <w:tcPr>
            <w:tcW w:type="dxa" w:w="216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Cómo se obtiene</w:t>
            </w:r>
          </w:p>
        </w:tc>
        <w:tc>
          <w:tcPr>
            <w:tcW w:type="dxa" w:w="216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Respaldo</w:t>
            </w:r>
          </w:p>
        </w:tc>
        <w:tc>
          <w:tcPr>
            <w:tcW w:type="dxa" w:w="216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Confianza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Área basal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π·(DAP/2)²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aritmética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✅ Alta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Área de copa y sombra proyectada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elipse a partir de los dos diámetros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geometría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✅ Alta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Biomasa aérea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ecuaciones alométricas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Dobbs, Hernández &amp; Escobedo 2011</w:t>
            </w:r>
            <w:r>
              <w:rPr>
                <w:sz w:val="19"/>
              </w:rPr>
              <w:t xml:space="preserve"> (11 especies urbanas de Chile central) + genéricas con </w:t>
            </w:r>
            <w:r>
              <w:rPr>
                <w:b/>
                <w:sz w:val="19"/>
              </w:rPr>
              <w:t>factor urbano 0,8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🟡 Media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Biomasa total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aérea × (1 + 0,26 raíz/tallo)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i-Tree / Nowak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🟡 Media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Carbono almacenado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biomasa seca × </w:t>
            </w:r>
            <w:r>
              <w:rPr>
                <w:b/>
                <w:sz w:val="19"/>
              </w:rPr>
              <w:t>0,47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fracción IPCC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🟡 Media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CO₂ equivalente almacenado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carbono × </w:t>
            </w:r>
            <w:r>
              <w:rPr>
                <w:b/>
                <w:sz w:val="19"/>
              </w:rPr>
              <w:t>3,67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estequiometría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🟡 Media (hereda la anterior)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Secuestro bruto anual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tasas de crecimiento por especie </w:t>
            </w:r>
            <w:r>
              <w:rPr>
                <w:b/>
                <w:sz w:val="19"/>
              </w:rPr>
              <w:t>ajustadas por estado sanitario, exposición a la luz y uso de suelo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i-Tree Eco v6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🟠 Media-baja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Secuestro neto anual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bruto − mortalidad y descomposición modeladas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i-Tree Eco v6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🟠 Media-baja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🔑 Valor económico del árbol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Vt = Vb · fd · fu · fs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Ordenanza 004/2021, Art. 32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✅ </w:t>
            </w:r>
            <w:r>
              <w:rPr>
                <w:b/>
                <w:sz w:val="19"/>
              </w:rPr>
              <w:t>Alta</w:t>
            </w:r>
            <w:r>
              <w:rPr>
                <w:sz w:val="19"/>
              </w:rPr>
              <w:t xml:space="preserve"> — ver §3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Área foliar e índice de área foliar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de copa + especie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i-Tree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🟡 Media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Escorrentía evitada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LAI + precipitación horaria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i-Tree Hydro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🟠 requiere datos horarios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Remoción de contaminantes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LAI + contaminación horaria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i-Tree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🔴 ver §6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Producción de O₂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secuestro × 2,67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estequiometría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⚫ ver §5</w:t>
            </w:r>
          </w:p>
        </w:tc>
      </w:tr>
    </w:tbl>
    <w:p/>
    <w:p>
      <w:pPr>
        <w:pStyle w:val="Heading3"/>
      </w:pPr>
      <w:r>
        <w:rPr>
          <w:color w:val="1B4D3E"/>
        </w:rPr>
        <w:t>Categoría 3 — LO QUE SOLO SE SABE VOLVIENDO A MEDIR</w:t>
      </w:r>
    </w:p>
    <w:p>
      <w:pPr>
        <w:spacing w:after="120"/>
      </w:pPr>
      <w:r>
        <w:t xml:space="preserve">Requiere dos o más mediciones de </w:t>
      </w:r>
      <w:r>
        <w:rPr>
          <w:b/>
        </w:rPr>
        <w:t>los mismos árboles</w:t>
      </w:r>
      <w:r>
        <w:t xml:space="preserve">, separadas por años. </w:t>
      </w:r>
      <w:r>
        <w:rPr>
          <w:b/>
        </w:rPr>
        <w:t>Es el segundo producto del Observatorio, no una promesa de esta etapa.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Indicador</w:t>
            </w:r>
          </w:p>
        </w:tc>
        <w:tc>
          <w:tcPr>
            <w:tcW w:type="dxa" w:w="432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Cada cuánto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Crecimiento diamétrico real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3-5 años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Secuestro medido</w:t>
            </w:r>
            <w:r>
              <w:rPr>
                <w:sz w:val="19"/>
              </w:rPr>
              <w:t xml:space="preserve"> (no estimado)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3-5 años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Validación local de los modelos</w:t>
            </w:r>
            <w:r>
              <w:rPr>
                <w:sz w:val="19"/>
              </w:rPr>
              <w:t>: ¿acertó i-Tree en Temuco?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3-5 años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🔑 Calibración de ecuaciones alométricas para especies del sur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5-10 años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Tasa real de mortalidad y de reposición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3-5 años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Pérdida de arbolado por tala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continuo (satélite + denuncias)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Cambio en la biodiversidad asociada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3-5 años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Efecto de intervenciones (podas, plantaciones)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según el caso</w:t>
            </w:r>
          </w:p>
        </w:tc>
      </w:tr>
    </w:tbl>
    <w:p/>
    <w:p>
      <w:pPr>
        <w:spacing w:after="120"/>
      </w:pPr>
      <w:r>
        <w:t xml:space="preserve">💡 </w:t>
      </w:r>
      <w:r>
        <w:rPr>
          <w:b/>
        </w:rPr>
        <w:t>La calibración de ecuaciones para especies nativas del sur es un vacío real de la literatura chilena</w:t>
      </w:r>
      <w:r>
        <w:t xml:space="preserve"> —lo detectamos en la investigación previa— y una línea base marcada hoy es el único camino para llenarlo. Es el argumento de largo plazo más fuerte que tiene el proyecto: no es "queremos seguir", es "esto solo se puede resolver empezando ahora".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3. 🔑 El hallazgo: la propia Ordenanza tiene su fórmula de valoración</w:t>
      </w:r>
    </w:p>
    <w:p>
      <w:pPr>
        <w:spacing w:after="120"/>
      </w:pPr>
      <w:r>
        <w:t xml:space="preserve">El </w:t>
      </w:r>
      <w:r>
        <w:rPr>
          <w:b/>
        </w:rPr>
        <w:t>Art. 32 de la Ordenanza 004/2021</w:t>
      </w:r>
      <w:r>
        <w:t xml:space="preserve"> establece cómo se calculan los derechos municipales por daño o destrucción de un árbol:</w:t>
      </w:r>
    </w:p>
    <w:p>
      <w:pPr>
        <w:ind w:left="432"/>
      </w:pPr>
      <w:r>
        <w:rPr>
          <w:b/>
          <w:i/>
          <w:color w:val="444444"/>
        </w:rPr>
        <w:t>Vt = Vb · fd · fu · fs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Factor</w:t>
            </w:r>
          </w:p>
        </w:tc>
        <w:tc>
          <w:tcPr>
            <w:tcW w:type="dxa" w:w="288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Qué es</w:t>
            </w:r>
          </w:p>
        </w:tc>
        <w:tc>
          <w:tcPr>
            <w:tcW w:type="dxa" w:w="288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Valores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Vb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Valor base en UTM, por </w:t>
            </w:r>
            <w:r>
              <w:rPr>
                <w:b/>
                <w:sz w:val="19"/>
              </w:rPr>
              <w:t>grupo de especie</w:t>
            </w:r>
            <w:r>
              <w:rPr>
                <w:sz w:val="19"/>
              </w:rPr>
              <w:t xml:space="preserve"> y </w:t>
            </w:r>
            <w:r>
              <w:rPr>
                <w:b/>
                <w:sz w:val="19"/>
              </w:rPr>
              <w:t>edad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de 1,0 UTM (Grupo 1, 1-4 años) hasta ~30 UTM (Grupo 3, 41-45 años)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fd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Sanidad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Sano 100% · Leve 70% · Mediana 50% · Fuerte 40% · </w:t>
            </w:r>
            <w:r>
              <w:rPr>
                <w:b/>
                <w:sz w:val="19"/>
              </w:rPr>
              <w:t>Muerto 0%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fu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Ubicación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Plazas y parques </w:t>
            </w:r>
            <w:r>
              <w:rPr>
                <w:b/>
                <w:sz w:val="19"/>
              </w:rPr>
              <w:t>200%</w:t>
            </w:r>
            <w:r>
              <w:rPr>
                <w:sz w:val="19"/>
              </w:rPr>
              <w:t xml:space="preserve"> · Calle alta visibilidad </w:t>
            </w:r>
            <w:r>
              <w:rPr>
                <w:b/>
                <w:sz w:val="19"/>
              </w:rPr>
              <w:t>150%</w:t>
            </w:r>
            <w:r>
              <w:rPr>
                <w:sz w:val="19"/>
              </w:rPr>
              <w:t xml:space="preserve"> · Media </w:t>
            </w:r>
            <w:r>
              <w:rPr>
                <w:b/>
                <w:sz w:val="19"/>
              </w:rPr>
              <w:t>80%</w:t>
            </w:r>
            <w:r>
              <w:rPr>
                <w:sz w:val="19"/>
              </w:rPr>
              <w:t xml:space="preserve"> · Baja </w:t>
            </w:r>
            <w:r>
              <w:rPr>
                <w:b/>
                <w:sz w:val="19"/>
              </w:rPr>
              <w:t>50%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fs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Singularidad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Patrimonial </w:t>
            </w:r>
            <w:r>
              <w:rPr>
                <w:b/>
                <w:sz w:val="19"/>
              </w:rPr>
              <w:t>500%</w:t>
            </w:r>
            <w:r>
              <w:rPr>
                <w:sz w:val="19"/>
              </w:rPr>
              <w:t xml:space="preserve"> · Alto valor de conservación </w:t>
            </w:r>
            <w:r>
              <w:rPr>
                <w:b/>
                <w:sz w:val="19"/>
              </w:rPr>
              <w:t>400%</w:t>
            </w:r>
            <w:r>
              <w:rPr>
                <w:sz w:val="19"/>
              </w:rPr>
              <w:t xml:space="preserve"> · Monumento natural </w:t>
            </w:r>
            <w:r>
              <w:rPr>
                <w:b/>
                <w:sz w:val="19"/>
              </w:rPr>
              <w:t>700%</w:t>
            </w:r>
          </w:p>
        </w:tc>
      </w:tr>
    </w:tbl>
    <w:p/>
    <w:p>
      <w:pPr>
        <w:spacing w:after="120"/>
      </w:pPr>
      <w:r>
        <w:t xml:space="preserve">Los grupos de especie: </w:t>
      </w:r>
      <w:r>
        <w:rPr>
          <w:b/>
        </w:rPr>
        <w:t>Grupo 1</w:t>
      </w:r>
      <w:r>
        <w:t xml:space="preserve"> exóticas comunes de crecimiento rápido (acacias, acer negundo, liquidámbar, álamo, sauce…), </w:t>
      </w:r>
      <w:r>
        <w:rPr>
          <w:b/>
        </w:rPr>
        <w:t>Grupo 2</w:t>
      </w:r>
      <w:r>
        <w:t xml:space="preserve"> ornamentales y coníferas (ginkgo, plátano oriental, roble europeo, tilo…), </w:t>
      </w:r>
      <w:r>
        <w:rPr>
          <w:b/>
        </w:rPr>
        <w:t>Grupo 3</w:t>
      </w:r>
      <w:r>
        <w:t xml:space="preserve"> </w:t>
      </w:r>
      <w:r>
        <w:rPr>
          <w:b/>
        </w:rPr>
        <w:t>nativas de alto valor</w:t>
      </w:r>
      <w:r>
        <w:t xml:space="preserve"> (araucaria, nothofagus, quillay, boldo, lingue, canelo, avellano, maitén, luma…).</w:t>
      </w:r>
    </w:p>
    <w:p>
      <w:pPr>
        <w:pStyle w:val="Heading3"/>
      </w:pPr>
      <w:r>
        <w:rPr>
          <w:color w:val="1B4D3E"/>
        </w:rPr>
        <w:t>Por qué esto es mejor que cualquier cifra de carbono importada</w:t>
      </w:r>
    </w:p>
    <w:p>
      <w:pPr>
        <w:pStyle w:val="ListNumber"/>
      </w:pPr>
      <w:r>
        <w:rPr>
          <w:b/>
        </w:rPr>
        <w:t>Todas sus variables son las que ya medimos</w:t>
      </w:r>
      <w:r>
        <w:t>: especie, sanidad, emplazamiento y singularidad.</w:t>
      </w:r>
    </w:p>
    <w:p>
      <w:pPr>
        <w:pStyle w:val="ListNumber"/>
      </w:pPr>
      <w:r>
        <w:rPr>
          <w:b/>
        </w:rPr>
        <w:t>Es derecho vigente en Temuco</w:t>
      </w:r>
      <w:r>
        <w:t>, no un modelo estadounidense. Nadie puede discutir la metodología: la escribió el municipio.</w:t>
      </w:r>
    </w:p>
    <w:p>
      <w:pPr>
        <w:pStyle w:val="ListNumber"/>
      </w:pPr>
      <w:r>
        <w:rPr>
          <w:b/>
        </w:rPr>
        <w:t>Está en UTM</w:t>
      </w:r>
      <w:r>
        <w:t>, o sea que se actualiza sola.</w:t>
      </w:r>
    </w:p>
    <w:p>
      <w:pPr>
        <w:pStyle w:val="ListNumber"/>
      </w:pPr>
      <w:r>
        <w:rPr>
          <w:b/>
        </w:rPr>
        <w:t>Es directamente accionable</w:t>
      </w:r>
      <w:r>
        <w:t xml:space="preserve">: cuando alguien tala un árbol, ese número es lo que el municipio debería cobrar. Un catastro ciudadano que dice </w:t>
      </w:r>
      <w:r>
        <w:rPr>
          <w:i/>
        </w:rPr>
        <w:t>"este árbol vale X UTM según su propia ordenanza"</w:t>
      </w:r>
      <w:r>
        <w:t xml:space="preserve"> es un instrumento de protección, no un dato de divulgación.</w:t>
      </w:r>
    </w:p>
    <w:p>
      <w:pPr>
        <w:pStyle w:val="ListNumber"/>
      </w:pPr>
      <w:r>
        <w:rPr>
          <w:b/>
        </w:rPr>
        <w:t>Le da peso normativo a H1</w:t>
      </w:r>
      <w:r>
        <w:t xml:space="preserve">: la Ordenanza ya valora más a las nativas (Grupo 3). Si nuestros datos muestran que </w:t>
      </w:r>
      <w:r>
        <w:rPr>
          <w:b/>
        </w:rPr>
        <w:t>el tamaño sostiene más biodiversidad que el origen</w:t>
      </w:r>
      <w:r>
        <w:t>, eso interpela directamente a la fórmula municipal — y esa tensión es un resultado publicable.</w:t>
      </w:r>
    </w:p>
    <w:p>
      <w:pPr>
        <w:pStyle w:val="Heading3"/>
      </w:pPr>
      <w:r>
        <w:rPr>
          <w:color w:val="1B4D3E"/>
        </w:rPr>
        <w:t>⚠️ El problema que hay que resolver: Vb depende de la EDAD</w:t>
      </w:r>
    </w:p>
    <w:p>
      <w:pPr>
        <w:spacing w:after="120"/>
      </w:pPr>
      <w:r>
        <w:t xml:space="preserve">La tabla de valor base está construida por </w:t>
      </w:r>
      <w:r>
        <w:rPr>
          <w:b/>
        </w:rPr>
        <w:t>rangos de edad</w:t>
      </w:r>
      <w:r>
        <w:t xml:space="preserve">, y la edad </w:t>
      </w:r>
      <w:r>
        <w:rPr>
          <w:b/>
        </w:rPr>
        <w:t>no se mide</w:t>
      </w:r>
      <w:r>
        <w:t xml:space="preserve"> (habría que barrenar el tronco). Tres salidas posibles: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Opción</w:t>
            </w:r>
          </w:p>
        </w:tc>
        <w:tc>
          <w:tcPr>
            <w:tcW w:type="dxa" w:w="432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Qué implica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a) Convertir DAP a edad</w:t>
            </w:r>
            <w:r>
              <w:rPr>
                <w:sz w:val="19"/>
              </w:rPr>
              <w:t xml:space="preserve"> con curvas de crecimiento por especie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Introduce un supuesto fuerte y no hay curvas locales para muchas especies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b) Reportar rangos</w:t>
            </w:r>
            <w:r>
              <w:rPr>
                <w:sz w:val="19"/>
              </w:rPr>
              <w:t>: "entre X e Y UTM según el rango de edad"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Honesto, defendible, y es lo que recomiendo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c) Consultar a la DMAO</w:t>
            </w:r>
            <w:r>
              <w:rPr>
                <w:sz w:val="19"/>
              </w:rPr>
              <w:t xml:space="preserve"> cómo aplican la tabla en la práctica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La mejor</w:t>
            </w:r>
            <w:r>
              <w:rPr>
                <w:sz w:val="19"/>
              </w:rPr>
              <w:t>: si el municipio ya tiene un criterio DAP→edad, lo adoptamos y quedamos alineados con quien cobra</w:t>
            </w:r>
          </w:p>
        </w:tc>
      </w:tr>
    </w:tbl>
    <w:p/>
    <w:p>
      <w:pPr>
        <w:spacing w:after="120"/>
      </w:pPr>
      <w:r>
        <w:t xml:space="preserve">💡 Y esto conecta con la Categoría 3: </w:t>
      </w:r>
      <w:r>
        <w:rPr>
          <w:b/>
        </w:rPr>
        <w:t>la remedición a 3-5 años entrega crecimiento diamétrico real por especie en Temuco</w:t>
      </w:r>
      <w:r>
        <w:t xml:space="preserve">, que es exactamente lo que hace falta para convertir DAP en edad con base local. </w:t>
      </w:r>
      <w:r>
        <w:rPr>
          <w:b/>
        </w:rPr>
        <w:t>El sistema de monitoreo resuelve la limitación de la línea base.</w:t>
      </w:r>
      <w:r>
        <w:t xml:space="preserve"> Es el mejor argumento de continuidad que tiene el proyecto.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4. Los dos productos, como pediste</w:t>
      </w:r>
    </w:p>
    <w:p>
      <w:pPr>
        <w:pStyle w:val="Heading3"/>
      </w:pPr>
      <w:r>
        <w:rPr>
          <w:color w:val="1B4D3E"/>
        </w:rPr>
        <w:t>Producto 1 — Línea base ciudadana (los 9 meses)</w:t>
      </w:r>
    </w:p>
    <w:p>
      <w:pPr>
        <w:ind w:left="432"/>
      </w:pPr>
      <w:r>
        <w:rPr>
          <w:b/>
          <w:i/>
          <w:color w:val="444444"/>
        </w:rPr>
        <w:t>¿Qué árboles tenemos hoy, cómo son, qué vida sostienen y cuánto valen?</w:t>
      </w:r>
    </w:p>
    <w:p>
      <w:pPr>
        <w:pStyle w:val="ListBullet"/>
      </w:pPr>
      <w:r>
        <w:t>Catastro de 200-350 árboles con ficha completa y código permanente.</w:t>
      </w:r>
    </w:p>
    <w:p>
      <w:pPr>
        <w:pStyle w:val="ListBullet"/>
      </w:pPr>
      <w:r>
        <w:t>Biodiversidad asociada a cada individuo, validada vía iNaturalist y por la especialista.</w:t>
      </w:r>
    </w:p>
    <w:p>
      <w:pPr>
        <w:pStyle w:val="ListBullet"/>
      </w:pPr>
      <w:r>
        <w:rPr>
          <w:b/>
        </w:rPr>
        <w:t>Servicios ecosistémicos estimados</w:t>
      </w:r>
      <w:r>
        <w:t xml:space="preserve">: sombra, carbono almacenado, secuestro anual y </w:t>
      </w:r>
      <w:r>
        <w:rPr>
          <w:b/>
        </w:rPr>
        <w:t>valor según Art. 32</w:t>
      </w:r>
      <w:r>
        <w:t>, todos con método e incertidumbre declarados.</w:t>
      </w:r>
    </w:p>
    <w:p>
      <w:pPr>
        <w:pStyle w:val="ListBullet"/>
      </w:pPr>
      <w:r>
        <w:t>Contraste del error de los datos ciudadanos (submuestra de control).</w:t>
      </w:r>
    </w:p>
    <w:p>
      <w:pPr>
        <w:pStyle w:val="ListBullet"/>
      </w:pPr>
      <w:r>
        <w:t>Respuesta a las hipótesis H1, H2 y H4.</w:t>
      </w:r>
    </w:p>
    <w:p>
      <w:pPr>
        <w:pStyle w:val="Heading3"/>
      </w:pPr>
      <w:r>
        <w:rPr>
          <w:color w:val="1B4D3E"/>
        </w:rPr>
        <w:t>Producto 2 — Sistema de monitoreo (queda instalado)</w:t>
      </w:r>
    </w:p>
    <w:p>
      <w:pPr>
        <w:ind w:left="432"/>
      </w:pPr>
      <w:r>
        <w:rPr>
          <w:b/>
          <w:i/>
          <w:color w:val="444444"/>
        </w:rPr>
        <w:t>¿Cómo volvemos a medir estos mismos árboles dentro de tres años?</w:t>
      </w:r>
    </w:p>
    <w:p>
      <w:pPr>
        <w:pStyle w:val="ListBullet"/>
      </w:pPr>
      <w:r>
        <w:rPr>
          <w:b/>
        </w:rPr>
        <w:t>Protocolo</w:t>
      </w:r>
      <w:r>
        <w:t xml:space="preserve"> replicable, probado en tres comunidades distintas.</w:t>
      </w:r>
    </w:p>
    <w:p>
      <w:pPr>
        <w:pStyle w:val="ListBullet"/>
      </w:pPr>
      <w:r>
        <w:rPr>
          <w:b/>
        </w:rPr>
        <w:t>Árboles georreferenciados con código único</w:t>
      </w:r>
      <w:r>
        <w:t>, más la prueba de relocalización a ciegas que verifica que se pueden reencontrar.</w:t>
      </w:r>
    </w:p>
    <w:p>
      <w:pPr>
        <w:pStyle w:val="ListBullet"/>
      </w:pPr>
      <w:r>
        <w:rPr>
          <w:b/>
        </w:rPr>
        <w:t>Docentes formados</w:t>
      </w:r>
      <w:r>
        <w:t xml:space="preserve"> capaces de repetir el ciclo sin nosotros.</w:t>
      </w:r>
    </w:p>
    <w:p>
      <w:pPr>
        <w:pStyle w:val="ListBullet"/>
      </w:pPr>
      <w:r>
        <w:rPr>
          <w:b/>
        </w:rPr>
        <w:t>Datos abiertos</w:t>
      </w:r>
      <w:r>
        <w:t xml:space="preserve"> en el observatorio, que ya existe y no cuesta operar.</w:t>
      </w:r>
    </w:p>
    <w:p>
      <w:pPr>
        <w:pStyle w:val="ListBullet"/>
      </w:pPr>
      <w:r>
        <w:rPr>
          <w:b/>
        </w:rPr>
        <w:t>Agenda científica explícita</w:t>
      </w:r>
      <w:r>
        <w:t xml:space="preserve"> de lo que la remedición permitirá: crecimiento real, validación de modelos y calibración de ecuaciones locales.</w:t>
      </w:r>
    </w:p>
    <w:p>
      <w:pPr>
        <w:spacing w:after="120"/>
      </w:pPr>
      <w:r>
        <w:rPr>
          <w:b/>
        </w:rPr>
        <w:t>Esta estructura de dos productos es, además, la mejor respuesta al requisito del fondo</w:t>
      </w:r>
      <w:r>
        <w:t xml:space="preserve"> de </w:t>
      </w:r>
      <w:r>
        <w:rPr>
          <w:i/>
        </w:rPr>
        <w:t>"generar acciones que puedan impulsar mayores acciones a largo plazo"</w:t>
      </w:r>
      <w:r>
        <w:t xml:space="preserve">: la continuidad no es una intención declarada, es una </w:t>
      </w:r>
      <w:r>
        <w:rPr>
          <w:b/>
        </w:rPr>
        <w:t>consecuencia metodológica</w:t>
      </w:r>
      <w:r>
        <w:t>. La línea base no sirve de nada sin la segunda medición, y por eso el proyecto está diseñado para que exista.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5. Oxígeno: veredicto científico</w:t>
      </w:r>
    </w:p>
    <w:p>
      <w:pPr>
        <w:spacing w:after="120"/>
      </w:pPr>
      <w:r>
        <w:t>Me pediste evaluarlo. Mi conclusión no cambia, y ahora la fundamento mejor:</w:t>
      </w:r>
    </w:p>
    <w:p>
      <w:pPr>
        <w:pStyle w:val="ListNumber"/>
      </w:pPr>
      <w:r>
        <w:rPr>
          <w:b/>
        </w:rPr>
        <w:t>No es una medición ni una estimación independiente.</w:t>
      </w:r>
      <w:r>
        <w:t xml:space="preserve"> Se deriva del secuestro neto de carbono multiplicando por </w:t>
      </w:r>
      <w:r>
        <w:rPr>
          <w:b/>
        </w:rPr>
        <w:t>2,67</w:t>
      </w:r>
      <w:r>
        <w:t xml:space="preserve"> (relación 32/12). Es el mismo dato con otra unidad: </w:t>
      </w:r>
      <w:r>
        <w:rPr>
          <w:b/>
        </w:rPr>
        <w:t>cero información nueva</w:t>
      </w:r>
      <w:r>
        <w:t>.</w:t>
      </w:r>
    </w:p>
    <w:p>
      <w:pPr>
        <w:pStyle w:val="ListNumber"/>
      </w:pPr>
      <w:r>
        <w:rPr>
          <w:b/>
        </w:rPr>
        <w:t>Sus propios autores lo descartan.</w:t>
      </w:r>
      <w:r>
        <w:t xml:space="preserve"> Nowak, Hoehn &amp; Crane (2007) concluyen que el beneficio es </w:t>
      </w:r>
      <w:r>
        <w:rPr>
          <w:i/>
        </w:rPr>
        <w:t>"relativamente insignificante"</w:t>
      </w:r>
      <w:r>
        <w:t xml:space="preserve"> y de valor prácticamente nulo, porque la reserva atmosférica de oxígeno es enorme y ningún arbolado urbano la condiciona.</w:t>
      </w:r>
    </w:p>
    <w:p>
      <w:pPr>
        <w:pStyle w:val="ListNumber"/>
      </w:pPr>
      <w:r>
        <w:rPr>
          <w:b/>
        </w:rPr>
        <w:t>Hereda toda la incertidumbre</w:t>
      </w:r>
      <w:r>
        <w:t xml:space="preserve"> del secuestro, que es nuestro indicador menos confiable.</w:t>
      </w:r>
    </w:p>
    <w:p>
      <w:pPr>
        <w:ind w:left="432"/>
      </w:pPr>
      <w:r>
        <w:rPr>
          <w:b/>
          <w:i/>
          <w:color w:val="444444"/>
        </w:rPr>
        <w:t>Veredicto: fuera de los indicadores. Dentro como contenido educativo.</w:t>
      </w:r>
    </w:p>
    <w:p>
      <w:pPr>
        <w:spacing w:after="120"/>
      </w:pPr>
      <w:r>
        <w:t xml:space="preserve">Y como contenido educativo es </w:t>
      </w:r>
      <w:r>
        <w:rPr>
          <w:b/>
        </w:rPr>
        <w:t>excelente</w:t>
      </w:r>
      <w:r>
        <w:t xml:space="preserve">, porque enseña dos cosas a la vez: cómo funciona la fotosíntesis, y </w:t>
      </w:r>
      <w:r>
        <w:rPr>
          <w:b/>
        </w:rPr>
        <w:t>por qué una cifra que suena impresionante puede no significar nada</w:t>
      </w:r>
      <w:r>
        <w:t>. Esa segunda lección —aprender a preguntarle a un número de dónde salió— es alfabetización científica de la buena, y encaja con el sello del proyecto.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6. Contaminación del aire: veredicto</w:t>
      </w:r>
    </w:p>
    <w:p>
      <w:pPr>
        <w:spacing w:after="120"/>
      </w:pPr>
      <w:r>
        <w:t xml:space="preserve">Me pediste evaluar si hay metodología rigurosa aplicable. La hay, y </w:t>
      </w:r>
      <w:r>
        <w:rPr>
          <w:b/>
        </w:rPr>
        <w:t>no es viable para nosotros ahora</w:t>
      </w:r>
      <w:r>
        <w:t>, por tres razones acumulativas:</w:t>
      </w:r>
    </w:p>
    <w:p>
      <w:pPr>
        <w:pStyle w:val="ListNumber"/>
      </w:pPr>
      <w:r>
        <w:rPr>
          <w:b/>
        </w:rPr>
        <w:t>Requiere datos horarios</w:t>
      </w:r>
      <w:r>
        <w:t xml:space="preserve"> de contaminación y meteorología cargados al sistema i-Tree. Es factible —el SINCA tiene estación en Temuco por el problema de la leña— pero es un pipeline de datos completo, no un cálculo.</w:t>
      </w:r>
    </w:p>
    <w:p>
      <w:pPr>
        <w:pStyle w:val="ListNumber"/>
      </w:pPr>
      <w:r>
        <w:rPr>
          <w:b/>
        </w:rPr>
        <w:t>El módulo de efectos en salud es exclusivo de EE.UU.</w:t>
      </w:r>
      <w:r>
        <w:t xml:space="preserve"> y no está disponible para proyectos internacionales. O sea que ni siquiera podríamos traducirlo a lo que la gente quiere saber.</w:t>
      </w:r>
    </w:p>
    <w:p>
      <w:pPr>
        <w:pStyle w:val="ListNumber"/>
      </w:pPr>
      <w:r>
        <w:rPr>
          <w:b/>
        </w:rPr>
        <w:t>La magnitud real es pequeña</w:t>
      </w:r>
      <w:r>
        <w:t xml:space="preserve"> (del orden del 1% de la concentración ambiente) y </w:t>
      </w:r>
      <w:r>
        <w:rPr>
          <w:b/>
        </w:rPr>
        <w:t>en cañón de calle el arbolado puede empeorar la calidad del aire</w:t>
      </w:r>
      <w:r>
        <w:t xml:space="preserve"> al reducir la ventilación.</w:t>
      </w:r>
    </w:p>
    <w:p>
      <w:pPr>
        <w:ind w:left="432"/>
      </w:pPr>
      <w:r>
        <w:rPr>
          <w:b/>
          <w:i/>
          <w:color w:val="444444"/>
        </w:rPr>
        <w:t>Veredicto: fuera de los indicadores principales.</w:t>
      </w:r>
    </w:p>
    <w:p>
      <w:pPr>
        <w:spacing w:after="120"/>
      </w:pPr>
      <w:r>
        <w:rPr>
          <w:b/>
        </w:rPr>
        <w:t>Pero el tema no se abandona: se aborda por la vía correcta.</w:t>
      </w:r>
      <w:r>
        <w:t xml:space="preserve"> Los </w:t>
      </w:r>
      <w:r>
        <w:rPr>
          <w:b/>
        </w:rPr>
        <w:t>líquenes son bioindicadores de calidad del aire</w:t>
      </w:r>
      <w:r>
        <w:t xml:space="preserve"> — no la limpian, la </w:t>
      </w:r>
      <w:r>
        <w:rPr>
          <w:i/>
        </w:rPr>
        <w:t>registran</w:t>
      </w:r>
      <w:r>
        <w:t>. Nuestra hipótesis H3 usa su riqueza y cobertura como señal del gradiente de contaminación por leña. Es una aproximación:</w:t>
      </w:r>
    </w:p>
    <w:p>
      <w:pPr>
        <w:pStyle w:val="ListBullet"/>
      </w:pPr>
      <w:r>
        <w:rPr>
          <w:b/>
        </w:rPr>
        <w:t>medible por estudiantes</w:t>
      </w:r>
      <w:r>
        <w:t xml:space="preserve"> con una grilla de acetato,</w:t>
      </w:r>
    </w:p>
    <w:p>
      <w:pPr>
        <w:pStyle w:val="ListBullet"/>
      </w:pPr>
      <w:r>
        <w:rPr>
          <w:b/>
        </w:rPr>
        <w:t>científicamente establecida</w:t>
      </w:r>
      <w:r>
        <w:t xml:space="preserve"> como método de biomonitoreo,</w:t>
      </w:r>
    </w:p>
    <w:p>
      <w:pPr>
        <w:pStyle w:val="ListBullet"/>
      </w:pPr>
      <w:r>
        <w:t xml:space="preserve">y </w:t>
      </w:r>
      <w:r>
        <w:rPr>
          <w:b/>
        </w:rPr>
        <w:t>honesta</w:t>
      </w:r>
      <w:r>
        <w:t>, porque no afirma que los árboles limpien nada.</w:t>
      </w:r>
    </w:p>
    <w:p>
      <w:pPr>
        <w:spacing w:after="120"/>
      </w:pPr>
      <w:r>
        <w:t>Es el mismo tema tratado con rigor en vez de con una cifra inventada.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7. Qué cambia en la ficha de terreno</w:t>
      </w:r>
    </w:p>
    <w:p>
      <w:pPr>
        <w:spacing w:after="120"/>
      </w:pPr>
      <w:r>
        <w:t xml:space="preserve">El Art. 32 obliga a dos ajustes concretos, y ambos </w:t>
      </w:r>
      <w:r>
        <w:rPr>
          <w:b/>
        </w:rPr>
        <w:t>mejoran</w:t>
      </w:r>
      <w:r>
        <w:t xml:space="preserve"> la ficha:</w:t>
      </w:r>
    </w:p>
    <w:p>
      <w:pPr>
        <w:spacing w:after="120"/>
      </w:pPr>
      <w:r>
        <w:rPr>
          <w:b/>
        </w:rPr>
        <w:t>a) El estado sanitario pasa de 3 a 5 clases.</w:t>
      </w:r>
      <w:r>
        <w:t xml:space="preserve"> La Ordenanza usa: </w:t>
      </w:r>
      <w:r>
        <w:rPr>
          <w:b/>
        </w:rPr>
        <w:t>Sano (100%) · Leve (70%) · Mediana (50%) · Fuerte (40%) · Muerto (0%)</w:t>
      </w:r>
      <w:r>
        <w:t xml:space="preserve">. Si registramos en esas cinco categorías, el factor </w:t>
      </w:r>
      <w:r>
        <w:rPr>
          <w:rFonts w:ascii="Consolas" w:hAnsi="Consolas"/>
          <w:sz w:val="19"/>
        </w:rPr>
        <w:t>fd</w:t>
      </w:r>
      <w:r>
        <w:t xml:space="preserve"> sale directo del dato de terreno.</w:t>
      </w:r>
    </w:p>
    <w:p>
      <w:pPr>
        <w:spacing w:after="120"/>
      </w:pPr>
      <w:r>
        <w:t xml:space="preserve">⚠️ </w:t>
      </w:r>
      <w:r>
        <w:rPr>
          <w:b/>
        </w:rPr>
        <w:t>Contrapartida honesta:</w:t>
      </w:r>
      <w:r>
        <w:t xml:space="preserve"> más clases significa </w:t>
      </w:r>
      <w:r>
        <w:rPr>
          <w:b/>
        </w:rPr>
        <w:t>menor concordancia entre observadores</w:t>
      </w:r>
      <w:r>
        <w:t xml:space="preserve"> — es exactamente el problema que el control de calidad mide con el índice kappa. </w:t>
      </w:r>
      <w:r>
        <w:rPr>
          <w:b/>
        </w:rPr>
        <w:t>Propuesta:</w:t>
      </w:r>
      <w:r>
        <w:t xml:space="preserve"> registrar en las 5 clases de la Ordenanza pero </w:t>
      </w:r>
      <w:r>
        <w:rPr>
          <w:b/>
        </w:rPr>
        <w:t>analizar la biodiversidad agrupando en 3</w:t>
      </w:r>
      <w:r>
        <w:t xml:space="preserve"> (sano / intermedio / malo). Así el dato normativo y el dato ecológico conviven sin sacrificar ninguno. El piloto dirá si los estudiantes distinguen cinco niveles de forma consistente.</w:t>
      </w:r>
    </w:p>
    <w:p>
      <w:pPr>
        <w:spacing w:after="120"/>
      </w:pPr>
      <w:r>
        <w:rPr>
          <w:b/>
        </w:rPr>
        <w:t>b) El emplazamiento se alinea con el factor `fu`.</w:t>
      </w:r>
      <w:r>
        <w:t xml:space="preserve"> Cambiar las categorías actuales por las de la Ordenanza: </w:t>
      </w:r>
      <w:r>
        <w:rPr>
          <w:b/>
        </w:rPr>
        <w:t>plaza o parque · calle de alta visibilidad · calle de visibilidad media · calle de baja visibilidad</w:t>
      </w:r>
      <w:r>
        <w:t xml:space="preserve">, agregando </w:t>
      </w:r>
      <w:r>
        <w:rPr>
          <w:i/>
        </w:rPr>
        <w:t>patio escolar</w:t>
      </w:r>
      <w:r>
        <w:t xml:space="preserve"> como categoría propia.</w:t>
      </w:r>
    </w:p>
    <w:p>
      <w:pPr>
        <w:spacing w:after="120"/>
      </w:pPr>
      <w:r>
        <w:t xml:space="preserve">Y una tercera, opcional: un campo de </w:t>
      </w:r>
      <w:r>
        <w:rPr>
          <w:b/>
        </w:rPr>
        <w:t>singularidad</w:t>
      </w:r>
      <w:r>
        <w:t xml:space="preserve"> (</w:t>
      </w:r>
      <w:r>
        <w:rPr>
          <w:rFonts w:ascii="Consolas" w:hAnsi="Consolas"/>
          <w:sz w:val="19"/>
        </w:rPr>
        <w:t>fs</w:t>
      </w:r>
      <w:r>
        <w:t>) que se llena solo si el árbol es candidato a patrimonial — lo que enlaza directamente con los expedientes del Art. 9.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8. Cómo se declara esto en la postulación</w:t>
      </w:r>
    </w:p>
    <w:p>
      <w:pPr>
        <w:spacing w:after="120"/>
      </w:pPr>
      <w:r>
        <w:t>La redacción tiene que sostener la distinción con precisión. Propuesta de fórmula:</w:t>
      </w:r>
    </w:p>
    <w:p>
      <w:pPr>
        <w:ind w:left="432"/>
      </w:pPr>
      <w:r>
        <w:rPr>
          <w:i/>
          <w:color w:val="444444"/>
        </w:rPr>
        <w:t xml:space="preserve">*"El proyecto levanta una línea base ciudadana del arbolado urbano de Temuco. Sobre las variables medidas en terreno —especie, diámetro, altura, copa, estado sanitario y emplazamiento— se </w:t>
      </w:r>
      <w:r>
        <w:rPr>
          <w:b/>
          <w:i/>
          <w:color w:val="444444"/>
        </w:rPr>
        <w:t>estiman</w:t>
      </w:r>
      <w:r>
        <w:rPr>
          <w:i/>
          <w:color w:val="444444"/>
        </w:rPr>
        <w:t xml:space="preserve">, mediante ecuaciones alométricas y modelos validados internacionalmente, el carbono almacenado y el secuestro anual de carbono, así como el </w:t>
      </w:r>
      <w:r>
        <w:rPr>
          <w:b/>
          <w:i/>
          <w:color w:val="444444"/>
        </w:rPr>
        <w:t>valor económico de cada ejemplar según la fórmula del Art. 32 de la Ordenanza Municipal 004/2021</w:t>
      </w:r>
      <w:r>
        <w:rPr>
          <w:i/>
          <w:color w:val="444444"/>
        </w:rPr>
        <w:t xml:space="preserve">. Todas las estimaciones se publican con su metodología, sus supuestos y su rango de incertidumbre. El proyecto </w:t>
      </w:r>
      <w:r>
        <w:rPr>
          <w:b/>
          <w:i/>
          <w:color w:val="444444"/>
        </w:rPr>
        <w:t>no afirma haber medido</w:t>
      </w:r>
      <w:r>
        <w:rPr>
          <w:i/>
          <w:color w:val="444444"/>
        </w:rPr>
        <w:t xml:space="preserve"> el carbono capturado durante su ejecución: la verificación de las estimaciones requiere volver a medir los mismos árboles, y para eso queda instalado el sistema de monitoreo."*</w:t>
      </w:r>
    </w:p>
    <w:p>
      <w:pPr>
        <w:spacing w:after="120"/>
      </w:pPr>
      <w:r>
        <w:t>Esa última frase es la que separa esta propuesta de las que prometen de más — y es la que un evaluador con formación científica va a agradecer.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9. Resumen de la corrección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Antes decía</w:t>
            </w:r>
          </w:p>
        </w:tc>
        <w:tc>
          <w:tcPr>
            <w:tcW w:type="dxa" w:w="432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Ahora dice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Carbono almacenado: "estimable, pero fuera"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✅ </w:t>
            </w:r>
            <w:r>
              <w:rPr>
                <w:b/>
                <w:sz w:val="19"/>
              </w:rPr>
              <w:t>Dentro</w:t>
            </w:r>
            <w:r>
              <w:rPr>
                <w:sz w:val="19"/>
              </w:rPr>
              <w:t>, como estimación con rango declarado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Secuestro anual: "físicamente imposible"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✅ </w:t>
            </w:r>
            <w:r>
              <w:rPr>
                <w:b/>
                <w:sz w:val="19"/>
              </w:rPr>
              <w:t>Dentro como estimación</w:t>
            </w:r>
            <w:r>
              <w:rPr>
                <w:sz w:val="19"/>
              </w:rPr>
              <w:t xml:space="preserve"> (i-Tree lo hace desde un solo inventario). Lo imposible es </w:t>
            </w:r>
            <w:r>
              <w:rPr>
                <w:b/>
                <w:sz w:val="19"/>
              </w:rPr>
              <w:t>medirlo</w:t>
            </w:r>
            <w:r>
              <w:rPr>
                <w:sz w:val="19"/>
              </w:rPr>
              <w:t xml:space="preserve"> en 9 meses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Oxígeno: fuera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⚫ </w:t>
            </w:r>
            <w:r>
              <w:rPr>
                <w:b/>
                <w:sz w:val="19"/>
              </w:rPr>
              <w:t>Fuera de indicadores, dentro como contenido educativo</w:t>
            </w:r>
            <w:r>
              <w:rPr>
                <w:sz w:val="19"/>
              </w:rPr>
              <w:t xml:space="preserve"> — sin cambios, ahora fundamentado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Contaminación: fuera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🔴 </w:t>
            </w:r>
            <w:r>
              <w:rPr>
                <w:b/>
                <w:sz w:val="19"/>
              </w:rPr>
              <w:t>Fuera de indicadores principales</w:t>
            </w:r>
            <w:r>
              <w:rPr>
                <w:sz w:val="19"/>
              </w:rPr>
              <w:t xml:space="preserve">; el tema se aborda vía </w:t>
            </w:r>
            <w:r>
              <w:rPr>
                <w:b/>
                <w:sz w:val="19"/>
              </w:rPr>
              <w:t>líquenes como bioindicadores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Valor económico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🔑 </w:t>
            </w:r>
            <w:r>
              <w:rPr>
                <w:b/>
                <w:sz w:val="19"/>
              </w:rPr>
              <w:t>Nuevo: la fórmula del Art. 32 de la propia Ordenanza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Un solo producto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Dos</w:t>
            </w:r>
            <w:r>
              <w:rPr>
                <w:sz w:val="19"/>
              </w:rPr>
              <w:t>: línea base y sistema de monitoreo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