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Chequeo contra las bases, uno por uno</w:t>
      </w:r>
    </w:p>
    <w:p>
      <w:pPr>
        <w:spacing w:after="120"/>
      </w:pPr>
      <w:r>
        <w:rPr>
          <w:b/>
        </w:rPr>
        <w:t>Fecha:</w:t>
      </w:r>
      <w:r>
        <w:t xml:space="preserve"> domingo 23 de agosto de 2026 · </w:t>
      </w:r>
      <w:r>
        <w:rPr>
          <w:b/>
        </w:rPr>
        <w:t>cierre mañana lunes 24, 23:59</w:t>
      </w:r>
    </w:p>
    <w:p>
      <w:pPr>
        <w:spacing w:after="120"/>
      </w:pPr>
      <w:r>
        <w:rPr>
          <w:b/>
        </w:rPr>
        <w:t>Fuente:</w:t>
      </w:r>
      <w:r>
        <w:t xml:space="preserve"> </w:t>
      </w:r>
      <w:r>
        <w:rPr>
          <w:rFonts w:ascii="Consolas" w:hAnsi="Consolas"/>
          <w:sz w:val="19"/>
        </w:rPr>
        <w:t>bases/FMA_2026-2027_bases.pdf</w:t>
      </w:r>
      <w:r>
        <w:t>, secciones II Requisitos, III Temáticas y exclusiones.</w:t>
      </w:r>
    </w:p>
    <w:p>
      <w:pPr>
        <w:ind w:left="432"/>
      </w:pPr>
      <w:r>
        <w:rPr>
          <w:i/>
          <w:color w:val="444444"/>
        </w:rPr>
        <w:t xml:space="preserve">Verdictos: ✅ </w:t>
      </w:r>
      <w:r>
        <w:rPr>
          <w:b/>
          <w:i/>
          <w:color w:val="444444"/>
        </w:rPr>
        <w:t>se cumple y hay con qué probarlo</w:t>
      </w:r>
      <w:r>
        <w:rPr>
          <w:i/>
          <w:color w:val="444444"/>
        </w:rPr>
        <w:t xml:space="preserve"> · 🟡 </w:t>
      </w:r>
      <w:r>
        <w:rPr>
          <w:b/>
          <w:i/>
          <w:color w:val="444444"/>
        </w:rPr>
        <w:t>se cumple pero está flojo</w:t>
      </w:r>
      <w:r>
        <w:rPr>
          <w:i/>
          <w:color w:val="444444"/>
        </w:rPr>
        <w:t xml:space="preserve"> · 🔴 </w:t>
      </w:r>
      <w:r>
        <w:rPr>
          <w:b/>
          <w:i/>
          <w:color w:val="444444"/>
        </w:rPr>
        <w:t>exposición real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Resultado del chequeo</w:t>
      </w:r>
    </w:p>
    <w:p>
      <w:pPr>
        <w:spacing w:after="120"/>
      </w:pPr>
      <w:r>
        <w:rPr>
          <w:b/>
        </w:rPr>
        <w:t>Los 8 requisitos se cumplen</w:t>
      </w:r>
      <w:r>
        <w:t xml:space="preserve">, uno de ellos con una salvedad que depende del certificado de vigencia. De las 7 características valoradas (basta una), </w:t>
      </w:r>
      <w:r>
        <w:rPr>
          <w:b/>
        </w:rPr>
        <w:t>cumplimos 5</w:t>
      </w:r>
      <w:r>
        <w:t xml:space="preserve">. Y aparecieron </w:t>
      </w:r>
      <w:r>
        <w:rPr>
          <w:b/>
        </w:rPr>
        <w:t>dos cosas que no habíamos mirado</w:t>
      </w:r>
      <w:r>
        <w:t>:</w:t>
      </w:r>
    </w:p>
    <w:p>
      <w:pPr>
        <w:spacing w:after="120"/>
      </w:pPr>
      <w:r>
        <w:rPr>
          <w:b/>
        </w:rPr>
        <w:t>🔴 1. Las bases excluyen "edición e impresión de publicaciones", y el ítem 3 del presupuesto decía tres veces la palabra "impresión".</w:t>
      </w:r>
      <w:r>
        <w:t xml:space="preserve"> No creo que la exclusión apunte a nosotros: está dirigida a proyectos editoriales, y el proyecto ganador que FMA presentó tenía un cuadernillo docente. Pero </w:t>
      </w:r>
      <w:r>
        <w:rPr>
          <w:b/>
        </w:rPr>
        <w:t>no hay razón para entregarles una planilla que literalmente dice "impresión de publicaciones"</w:t>
      </w:r>
      <w:r>
        <w:t xml:space="preserve"> y dejar que un evaluador tenga que decidir a nuestro favor. </w:t>
      </w:r>
      <w:r>
        <w:rPr>
          <w:b/>
        </w:rPr>
        <w:t>Ya lo corregí:</w:t>
      </w:r>
      <w:r>
        <w:t xml:space="preserve"> esas partidas ahora se llaman producción de material de terreno, del cuadernillo y del kit para instalación de capacidades, que es lo que efectivamente son. Mismo monto, misma cosa, redacción que no se presta.</w:t>
      </w:r>
    </w:p>
    <w:p>
      <w:pPr>
        <w:spacing w:after="120"/>
      </w:pPr>
      <w:r>
        <w:rPr>
          <w:b/>
        </w:rPr>
        <w:t>🟡 2. "Incorporar prácticas bioculturales" es una de las características valoradas</w:t>
      </w:r>
      <w:r>
        <w:t xml:space="preserve">, y es exactamente lo que sacamos ayer. </w:t>
      </w:r>
      <w:r>
        <w:rPr>
          <w:b/>
        </w:rPr>
        <w:t>La decisión sigue siendo correcta</w:t>
      </w:r>
      <w:r>
        <w:t>, porque basta cumplir una y cumplimos cinco. Pero conviene saber que el componente que descartamos tenía dónde puntuar, y que la respuesta a saberes ancestrales queda apoyada solo en el mapuzugun de Los Trigales.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Los 8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Veredicto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 qué se prueba, y dónde va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Vincular las ciencias naturales con otras disciplinas y saberes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Ecología y gestión ambiental, educación ambiental y arte, declaradas como las tres disciplinas obligatorias, </w:t>
            </w:r>
            <w:r>
              <w:rPr>
                <w:b/>
                <w:sz w:val="19"/>
              </w:rPr>
              <w:t>cada una con alguien que la sostiene</w:t>
            </w:r>
            <w:r>
              <w:rPr>
                <w:sz w:val="19"/>
              </w:rPr>
              <w:t>. El herbario ilustrado no es decorativo: es el componente artístico con producto propio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Generar conciencia y acción por el cuidado de la naturaleza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La palabra que importa es </w:t>
            </w:r>
            <w:r>
              <w:rPr>
                <w:b/>
                <w:sz w:val="19"/>
              </w:rPr>
              <w:t>acción</w:t>
            </w:r>
            <w:r>
              <w:rPr>
                <w:sz w:val="19"/>
              </w:rPr>
              <w:t>. Los expedientes del Art. 9 son protección legal de ejemplares concretos, no sensibilización. Es lo que nos separa de un proyecto de difusión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Metas específicas alineadas con objetivos verificables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es nuestro punto más fuerte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tabla de indicadores de proceso: 180 árboles, RMSE menor a 5 cm, kappa mayor a 0,6, 85% de relocalización a ciegas, 3 kits entregados con acta. Cada uno con su medio de verificación y su semana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Trayectoria previa en el territorio y/o con comunidades locales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cumplimos las dos, y basta una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Territorio: el observatorio, público y verificable desde antes. Comunidades: Ekuwün, con la exploración de briófitos en el Ñielol y la MEMT 2026 documentadas en su propia cuenta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Experiencia comprobable para llevar a cabo el proyecto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🟡 </w:t>
            </w:r>
            <w:r>
              <w:rPr>
                <w:b/>
                <w:sz w:val="19"/>
              </w:rPr>
              <w:t>depende del certificado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Tres evidencias </w:t>
            </w:r>
            <w:r>
              <w:rPr>
                <w:b/>
                <w:sz w:val="19"/>
              </w:rPr>
              <w:t>públicas y comprobables sin adjuntar nada</w:t>
            </w:r>
            <w:r>
              <w:rPr>
                <w:sz w:val="19"/>
              </w:rPr>
              <w:t xml:space="preserve">: el observatorio en línea, el perfil de iNaturalist de la especialista con 2.893 identificaciones, y las actividades de Ekuwün. La Q29 confirma que las trayectorias individuales acreditan al equipo. </w:t>
            </w:r>
            <w:r>
              <w:rPr>
                <w:b/>
                <w:sz w:val="19"/>
              </w:rPr>
              <w:t>Lo que falta es la figura legal</w:t>
            </w:r>
            <w:r>
              <w:rPr>
                <w:sz w:val="19"/>
              </w:rPr>
              <w:t>, no la experiencia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Implementar entre diciembre 2026 y agosto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carta Gantt son exactamente esos 9 meses, 36 semanas, con los meses de la plantilla reetiquetados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Generar acciones que puedan impulsar mayores acciones a largo plazo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el argumento más sólido que tenemos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línea base </w:t>
            </w:r>
            <w:r>
              <w:rPr>
                <w:b/>
                <w:sz w:val="19"/>
              </w:rPr>
              <w:t>no sirve de nada sin la segunda medición</w:t>
            </w:r>
            <w:r>
              <w:rPr>
                <w:sz w:val="19"/>
              </w:rPr>
              <w:t>. La continuidad deja de ser una intención y pasa a ser una consecuencia metodológica. Más el kit, los docentes formados y la ficha de revisita ya diseñada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Implementarse en territorio nacional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Temuco, La Araucanía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Las 7 características valoradas (basta una)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Característica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Veredicto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Prácticas transdisciplinarias</w:t>
            </w:r>
            <w:r>
              <w:rPr>
                <w:sz w:val="19"/>
              </w:rPr>
              <w:t xml:space="preserve"> (artes, humanidades, ciencias)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Las tres disciplinas declaradas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Prácticas bioculturales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🟡 </w:t>
            </w:r>
            <w:r>
              <w:rPr>
                <w:b/>
                <w:sz w:val="19"/>
              </w:rPr>
              <w:t>débil desde ayer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Queda el registro de nombres locales y en mapuzugun en la ficha F1. Es real, pero es una línea del formulario, no un componente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Procesos participativos con co-diseño, co-ejecución e instalación de capacidades para autonomía a largo plazo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casi textual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Es la característica que mejor describe el proyecto entero: co-diseño de la ficha pictográfica con las fonoaudiólogas, ejecución por los propios estudiantes, y el kit más los docentes formados como capacidad instalada. </w:t>
            </w:r>
            <w:r>
              <w:rPr>
                <w:b/>
                <w:sz w:val="19"/>
              </w:rPr>
              <w:t>Conviene citar esta frase de las bases al responder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Saberes ancestrales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mapuzugun de NT1 a 4° en Los Trigales, que es verificable. No simular más que eso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Vínculo con prácticas artísticas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Herbario ilustrado, con producto y con meta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Instalar aprendizajes y fomentar la curiosidad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 secuencia didáctica y el encuadre del árbol como hábitat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Vínculo con áreas protegidas o espacios de cuidado, o especies amenazadas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Humedal Urbano Río Cautín-Sector Antumalén, declarado bajo la Ley 21.202</w:t>
            </w:r>
            <w:r>
              <w:rPr>
                <w:sz w:val="19"/>
              </w:rPr>
              <w:t>, en el propio barrio de Hablaarte. No es prestado. No priorizamos especies amenazadas, y no hace falta: el criterio es "y/o"</w:t>
            </w:r>
          </w:p>
        </w:tc>
      </w:tr>
    </w:tbl>
    <w:p/>
    <w:p>
      <w:pPr>
        <w:spacing w:after="120"/>
      </w:pPr>
      <w:r>
        <w:rPr>
          <w:b/>
        </w:rPr>
        <w:t>Cinco de siete, cuando el requisito es una.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Las 10 exclusiones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Exclusión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¿Nos toca?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Campañas comunicacionales o políticas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No. Por eso el generador de contenido para redes quedó fuera desde el principio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Auspicio de eventos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Proyectos internacionales sin impacto en Chile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Emprendimientos comerciales o productivos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Residencias artísticas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Becas de estudio, arancel, matrícula, manutención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No. Ningún honorario del presupuesto es una beca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Socios o colaboradores vinculados a minería, industria papelera o maderera, explotación agrícola u otras acciones extractivistas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Verificar.</w:t>
            </w:r>
            <w:r>
              <w:rPr>
                <w:sz w:val="19"/>
              </w:rPr>
              <w:t xml:space="preserve"> Casi con certeza no, pero los socios declarados son las tres escuelas y Ekuwün, y conviene confirmar que ninguna tiene ese tipo de vínculo antes de firmar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Exposiciones de arte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No. El herbario es una colección de trabajo que queda en la escuela, no una exposición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Edición e impresión de publicaciones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Era nuestra única exposición, y ya está corregida.</w:t>
            </w:r>
            <w:r>
              <w:rPr>
                <w:sz w:val="19"/>
              </w:rPr>
              <w:t xml:space="preserve"> Ver §0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Proyectos en etapa de ideas, sin validación previa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No. El observatorio lleva años operando y la Q4 define "etapa de ideas" como no tener ningún desarrollo previo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Propuestas sin proyección a largo plazo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No. Es nuestro requisito 7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Temática</w:t>
      </w:r>
    </w:p>
    <w:p>
      <w:pPr>
        <w:spacing w:after="120"/>
      </w:pPr>
      <w:r>
        <w:t xml:space="preserve">Solo son admisibles los proyectos que se relacionen con al menos una de las siete temáticas, y el formulario permite </w:t>
      </w:r>
      <w:r>
        <w:rPr>
          <w:b/>
        </w:rPr>
        <w:t>elegir una sola</w:t>
      </w:r>
      <w:r>
        <w:t>.</w:t>
      </w:r>
    </w:p>
    <w:p>
      <w:pPr>
        <w:spacing w:after="120"/>
      </w:pPr>
      <w:r>
        <w:rPr>
          <w:b/>
        </w:rPr>
        <w:t>Elegida: Temática 1, monitoreo de territorios, biodiversidad y/o ecosistemas subrepresentados.</w:t>
      </w:r>
      <w:r>
        <w:t xml:space="preserve"> Se mantiene, y está bien elegida: la Q24 y la Q32 confirmaron que lo urbano no está excluido, y la Q32 valida un caso casi idéntico al nuestro.</w:t>
      </w:r>
    </w:p>
    <w:p>
      <w:pPr>
        <w:spacing w:after="120"/>
      </w:pPr>
      <w:r>
        <w:t xml:space="preserve">Vale saber que </w:t>
      </w:r>
      <w:r>
        <w:rPr>
          <w:b/>
        </w:rPr>
        <w:t>tocamos otras dos sin poder marcarlas</w:t>
      </w:r>
      <w:r>
        <w:t>, y conviene nombrarlas en el texto para mostrar densidad:</w:t>
      </w:r>
    </w:p>
    <w:p>
      <w:pPr>
        <w:pStyle w:val="ListBullet"/>
      </w:pPr>
      <w:r>
        <w:rPr>
          <w:b/>
        </w:rPr>
        <w:t>Temática 6, colecciones biológicas</w:t>
      </w:r>
      <w:r>
        <w:t>: el herbario ilustrado, el catastro codificado y las observaciones que fluyen a GBIF son, en rigor, creación y sistematización de una colección.</w:t>
      </w:r>
    </w:p>
    <w:p>
      <w:pPr>
        <w:pStyle w:val="ListBullet"/>
      </w:pPr>
      <w:r>
        <w:rPr>
          <w:b/>
        </w:rPr>
        <w:t>Temática 7, expedientes y articulación territorial desde la autogestión comunitaria</w:t>
      </w:r>
      <w:r>
        <w:t>: los expedientes del Art. 9 son literalmente "elaboración de expedientes".</w:t>
      </w:r>
    </w:p>
    <w:p>
      <w:pPr>
        <w:spacing w:after="120"/>
      </w:pPr>
      <w:r>
        <w:t xml:space="preserve">⚠️ </w:t>
      </w:r>
      <w:r>
        <w:rPr>
          <w:b/>
        </w:rPr>
        <w:t>Y la definición de comunidad de la nota al pie juega a favor</w:t>
      </w:r>
      <w:r>
        <w:t>: incluye "organizaciones vecinales o territoriales u organizaciones que realizan gestión territorial con objetivos de conservación socioambiental". Ekuwün encaja.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Lo que este chequeo cambia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Reformular el ítem 3 del presupuesto para que no diga "impresión"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hecho</w:t>
            </w:r>
            <w:r>
              <w:rPr>
                <w:sz w:val="19"/>
              </w:rPr>
              <w:t>, mismo monto, ya regenerado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Citar textual la frase de co-diseño e instalación de capacidades al responder el campo de participación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⬜ al redactar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Nombrar las temáticas 6 y 7 en el texto, sin marcarlas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⬜ al redactar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Confirmar que ninguna escuela ni Ekuwün tiene vínculos extractivistas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una pregunta, hoy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Asumir que la respuesta de saberes ancestrales será modesta y honesta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decisión tomada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