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4D3E"/>
        </w:rPr>
        <w:t>Flujo de caja del proyecto y entrega de fondos</w:t>
      </w:r>
    </w:p>
    <w:p>
      <w:pPr>
        <w:spacing w:after="120"/>
      </w:pPr>
      <w:r>
        <w:rPr>
          <w:b/>
        </w:rPr>
        <w:t>Proyecto:</w:t>
      </w:r>
      <w:r>
        <w:t xml:space="preserve"> Fondo FMA 2026-2027 · postulación 1593168 · $5.995.080</w:t>
      </w:r>
    </w:p>
    <w:p>
      <w:pPr>
        <w:spacing w:after="120"/>
      </w:pPr>
      <w:r>
        <w:rPr>
          <w:b/>
        </w:rPr>
        <w:t>Fecha del análisis:</w:t>
      </w:r>
      <w:r>
        <w:t xml:space="preserve"> 24 de agosto de 2026</w:t>
      </w:r>
    </w:p>
    <w:p>
      <w:pPr>
        <w:spacing w:after="120"/>
      </w:pPr>
      <w:r>
        <w:rPr>
          <w:b/>
        </w:rPr>
        <w:t>Para qué sirve:</w:t>
      </w:r>
      <w:r>
        <w:t xml:space="preserve"> para la </w:t>
      </w:r>
      <w:r>
        <w:rPr>
          <w:b/>
        </w:rPr>
        <w:t>firma del convenio</w:t>
      </w:r>
      <w:r>
        <w:t>, entre el 12 de octubre y el 30 de noviembre de 2026.</w:t>
      </w:r>
    </w:p>
    <w:p>
      <w:pPr>
        <w:ind w:left="432"/>
      </w:pPr>
      <w:r>
        <w:rPr>
          <w:i/>
          <w:color w:val="444444"/>
        </w:rPr>
        <w:t xml:space="preserve">Este documento existe porque el presupuesto es una lista de partidas y no dice </w:t>
      </w:r>
      <w:r>
        <w:rPr>
          <w:b/>
          <w:i/>
          <w:color w:val="444444"/>
        </w:rPr>
        <w:t>cuándo</w:t>
      </w:r>
      <w:r>
        <w:rPr>
          <w:i/>
          <w:color w:val="444444"/>
        </w:rPr>
        <w:t xml:space="preserve"> sale cada</w:t>
      </w:r>
    </w:p>
    <w:p>
      <w:pPr>
        <w:ind w:left="432"/>
      </w:pPr>
      <w:r>
        <w:rPr>
          <w:i/>
          <w:color w:val="444444"/>
        </w:rPr>
        <w:t>peso. Al cruzarlo con las semanas del plan de actividades aparece un desajuste que hay que</w:t>
      </w:r>
    </w:p>
    <w:p>
      <w:pPr>
        <w:ind w:left="432"/>
      </w:pPr>
      <w:r>
        <w:rPr>
          <w:i/>
          <w:color w:val="444444"/>
        </w:rPr>
        <w:t>negociar antes de firmar.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1. Cómo entra la plata</w:t>
      </w:r>
    </w:p>
    <w:p>
      <w:pPr>
        <w:spacing w:after="120"/>
      </w:pPr>
      <w:r>
        <w:t xml:space="preserve">De las </w:t>
      </w:r>
      <w:r>
        <w:rPr>
          <w:b/>
        </w:rPr>
        <w:t>preguntas frecuentes oficiales</w:t>
      </w:r>
      <w:r>
        <w:t>, sección I "Aspectos económicos - presupuestarios",</w:t>
      </w:r>
    </w:p>
    <w:p>
      <w:pPr>
        <w:spacing w:after="120"/>
      </w:pPr>
      <w:r>
        <w:t>pregunta 4, textual:</w:t>
      </w:r>
    </w:p>
    <w:p>
      <w:pPr>
        <w:ind w:left="432"/>
      </w:pPr>
      <w:r>
        <w:rPr>
          <w:i/>
          <w:color w:val="444444"/>
        </w:rPr>
        <w:t>*"Con la firma del convenio se entregará el 50% del monto adjudicado. El saldo restante se</w:t>
      </w:r>
    </w:p>
    <w:p>
      <w:pPr>
        <w:ind w:left="432"/>
      </w:pPr>
      <w:r>
        <w:rPr>
          <w:i/>
          <w:color w:val="444444"/>
        </w:rPr>
        <w:t>entregará de acuerdo con los plazos establecidos en la carta Gantt aprobada del proyecto o según</w:t>
      </w:r>
    </w:p>
    <w:p>
      <w:pPr>
        <w:ind w:left="432"/>
      </w:pPr>
      <w:r>
        <w:rPr>
          <w:i/>
          <w:color w:val="444444"/>
        </w:rPr>
        <w:t>lo definido en el convenio."*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Tramo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Monto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Cuándo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Primero, a la firma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$2.997.540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Entre octubre y noviembre de 2026, antes de iniciar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Segundo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$2.997.540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Según la carta Gantt aprobada. Esto es lo que hay que negociar</w:t>
            </w:r>
          </w:p>
        </w:tc>
      </w:tr>
    </w:tbl>
    <w:p/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2. Cómo sale</w:t>
      </w:r>
    </w:p>
    <w:p>
      <w:pPr>
        <w:spacing w:after="120"/>
      </w:pPr>
      <w:r>
        <w:t>Reconstrucción mes a mes, cruzando cada partida del presupuesto con la semana en que se ejecuta</w:t>
      </w:r>
    </w:p>
    <w:p>
      <w:pPr>
        <w:spacing w:after="120"/>
      </w:pPr>
      <w:r>
        <w:t xml:space="preserve">según </w:t>
      </w:r>
      <w:r>
        <w:rPr>
          <w:rFonts w:ascii="Consolas" w:hAnsi="Consolas"/>
          <w:sz w:val="19"/>
        </w:rPr>
        <w:t>FMA_2026_ACTIVIDADES.md</w:t>
      </w:r>
      <w:r>
        <w:t>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Mes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Gasto del mes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Acumulado</w:t>
            </w:r>
          </w:p>
        </w:tc>
        <w:tc>
          <w:tcPr>
            <w:tcW w:type="dxa" w:w="216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Saldo del primer tramo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dic 2026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$143.800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$143.800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$2.853.740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ene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$578.900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$722.700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$2.274.840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feb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$1.734.130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$2.456.830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$540.710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mar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$744.925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$3.201.755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🔴 </w:t>
            </w:r>
            <w:r>
              <w:rPr>
                <w:b/>
                <w:sz w:val="19"/>
              </w:rPr>
              <w:t>–$204.215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abr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$761.775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$3.963.530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–$965.990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may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$531.200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$4.494.730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–$1.497.190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jun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$269.750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$4.764.480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–$1.766.940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jul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$507.750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$5.272.230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–$2.274.690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ago 2027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$722.850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$5.995.080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–$2.997.540</w:t>
            </w:r>
          </w:p>
        </w:tc>
      </w:tr>
    </w:tbl>
    <w:p/>
    <w:p>
      <w:pPr>
        <w:spacing w:after="120"/>
      </w:pPr>
      <w:r>
        <w:t xml:space="preserve">🔴 </w:t>
      </w:r>
      <w:r>
        <w:rPr>
          <w:b/>
        </w:rPr>
        <w:t>El primer tramo se agota en marzo</w:t>
      </w:r>
      <w:r>
        <w:t>, que es exactamente el mes en que empieza el terreno con</w:t>
      </w:r>
    </w:p>
    <w:p>
      <w:pPr>
        <w:spacing w:after="120"/>
      </w:pPr>
      <w:r>
        <w:t>los estudiantes. La etapa crítica arrancaría sin caja.</w:t>
      </w:r>
    </w:p>
    <w:p>
      <w:pPr>
        <w:spacing w:after="120"/>
      </w:pPr>
      <w:r>
        <w:rPr>
          <w:b/>
        </w:rPr>
        <w:t>La causa está en febrero: $1.734.130 en un solo mes, el 29% del proyecto.</w:t>
      </w:r>
      <w:r>
        <w:t xml:space="preserve"> Ahí se compran los</w:t>
      </w:r>
    </w:p>
    <w:p>
      <w:pPr>
        <w:spacing w:after="120"/>
      </w:pPr>
      <w:r>
        <w:t>cuatro kits, la óptica, los chalecos y botiquines, y se imprime el sistema de fichas. **No se puede</w:t>
      </w:r>
    </w:p>
    <w:p>
      <w:pPr>
        <w:spacing w:after="120"/>
      </w:pPr>
      <w:r>
        <w:t>correr**: todo eso tiene que estar montado antes de que los estudiantes salgan a medir en marzo.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3. Qué pasa según cuándo llegue el segundo tramo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Llegada del segundo tramo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Resultado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Inicio de febrero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Nunca falta caja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✅ </w:t>
            </w:r>
            <w:r>
              <w:rPr>
                <w:b/>
                <w:sz w:val="19"/>
              </w:rPr>
              <w:t>Inicio de marzo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Nunca falta caja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Inicio de abril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Ekuwün adelanta $204.215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Inicio de mayo de 2027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Ekuwün adelanta </w:t>
            </w:r>
            <w:r>
              <w:rPr>
                <w:b/>
                <w:sz w:val="19"/>
              </w:rPr>
              <w:t>$965.990</w:t>
            </w:r>
            <w:r>
              <w:rPr>
                <w:sz w:val="19"/>
              </w:rPr>
              <w:t>, en plena temporada de terreno</w:t>
            </w:r>
          </w:p>
        </w:tc>
      </w:tr>
    </w:tbl>
    <w:p/>
    <w:p>
      <w:pPr>
        <w:spacing w:after="120"/>
      </w:pPr>
      <w:r>
        <w:t xml:space="preserve">⚠️ </w:t>
      </w:r>
      <w:r>
        <w:rPr>
          <w:b/>
        </w:rPr>
        <w:t>El escenario de mayo es el que ocurre por defecto si nadie dice nada</w:t>
      </w:r>
      <w:r>
        <w:t>, porque la mitad del</w:t>
      </w:r>
    </w:p>
    <w:p>
      <w:pPr>
        <w:spacing w:after="120"/>
      </w:pPr>
      <w:r>
        <w:t>calendario de ejecución cae a fines de abril y es la lectura natural para quien no mire el flujo.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4. Lo que hay que pedir, y por qué se sostiene</w:t>
      </w:r>
    </w:p>
    <w:p>
      <w:pPr>
        <w:spacing w:after="120"/>
      </w:pPr>
      <w:r>
        <w:rPr>
          <w:b/>
        </w:rPr>
        <w:t>Segundo tramo al cierre de la Etapa 1, fines de febrero de 2027, semana 12.</w:t>
      </w:r>
    </w:p>
    <w:p>
      <w:pPr>
        <w:spacing w:after="120"/>
      </w:pPr>
      <w:r>
        <w:t>No es una fecha arbitraria. Es el cierre de una etapa que ya existe en la carta Gantt y que entrega</w:t>
      </w:r>
    </w:p>
    <w:p>
      <w:pPr>
        <w:spacing w:after="120"/>
      </w:pPr>
      <w:r>
        <w:t>tres productos verificables ya comprometidos: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Producto de la Etapa 1</w:t>
            </w:r>
          </w:p>
        </w:tc>
        <w:tc>
          <w:tcPr>
            <w:tcW w:type="dxa" w:w="432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Semana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Informe de piloto con al menos tres problemas detectados y corregidos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Sistema de fichas: F1 en tres formatos, F2, F3 y protocolo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Jornada de formación docente, con lista de asistencia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12</w:t>
            </w:r>
          </w:p>
        </w:tc>
      </w:tr>
    </w:tbl>
    <w:p/>
    <w:p>
      <w:pPr>
        <w:spacing w:after="120"/>
      </w:pPr>
      <w:r>
        <w:t xml:space="preserve">Es decir: </w:t>
      </w:r>
      <w:r>
        <w:rPr>
          <w:b/>
        </w:rPr>
        <w:t>hay un hito con evidencia entregable justo en el mes en que se acaba la plata.</w:t>
      </w:r>
      <w:r>
        <w:t xml:space="preserve"> Eso</w:t>
      </w:r>
    </w:p>
    <w:p>
      <w:pPr>
        <w:spacing w:after="120"/>
      </w:pPr>
      <w:r>
        <w:t>convierte la petición en algo que se sostiene solo, sin pedir un trato especial.</w:t>
      </w:r>
    </w:p>
    <w:p>
      <w:pPr>
        <w:spacing w:after="120"/>
      </w:pPr>
      <w:r>
        <w:t xml:space="preserve">✅ </w:t>
      </w:r>
      <w:r>
        <w:rPr>
          <w:b/>
        </w:rPr>
        <w:t>Ya quedó marcado en la carta Gantt enviada</w:t>
      </w:r>
      <w:r>
        <w:t>, en un bloque al pie titulado *"ENTREGA DE FONDOS ·</w:t>
      </w:r>
    </w:p>
    <w:p>
      <w:pPr>
        <w:spacing w:after="120"/>
      </w:pPr>
      <w:r>
        <w:t>referencia para el convenio"*, con la marca del 50% en la semana 12. La plantilla oficial autoriza</w:t>
      </w:r>
    </w:p>
    <w:p>
      <w:pPr>
        <w:spacing w:after="120"/>
      </w:pPr>
      <w:r>
        <w:t>agregar filas, y las preguntas frecuentes dicen que el saldo sigue los plazos de la carta Gantt</w:t>
      </w:r>
    </w:p>
    <w:p>
      <w:pPr>
        <w:spacing w:after="120"/>
      </w:pPr>
      <w:r>
        <w:t>aprobada, así que es el documento donde corresponde dejarlo escrito.</w:t>
      </w:r>
    </w:p>
    <w:p>
      <w:pPr>
        <w:spacing w:after="120"/>
      </w:pPr>
      <w:r>
        <w:t xml:space="preserve">💡 </w:t>
      </w:r>
      <w:r>
        <w:rPr>
          <w:b/>
        </w:rPr>
        <w:t>También sirve mencionarlo en la entrevista de preselección:</w:t>
      </w:r>
      <w:r>
        <w:t xml:space="preserve"> muestra que el presupuesto se</w:t>
      </w:r>
    </w:p>
    <w:p>
      <w:pPr>
        <w:spacing w:after="120"/>
      </w:pPr>
      <w:r>
        <w:t>pensó como flujo y no como lista de compras.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5. Sobre los honorarios, que era la otra duda</w:t>
      </w:r>
    </w:p>
    <w:p>
      <w:pPr>
        <w:spacing w:after="120"/>
      </w:pPr>
      <w:r>
        <w:rPr>
          <w:b/>
        </w:rPr>
        <w:t>Las bases no dicen nada de honorarios.</w:t>
      </w:r>
      <w:r>
        <w:t xml:space="preserve"> La única fuente es la pregunta 3 de las preguntas</w:t>
      </w:r>
    </w:p>
    <w:p>
      <w:pPr>
        <w:spacing w:after="120"/>
      </w:pPr>
      <w:r>
        <w:t>frecuentes, textual:</w:t>
      </w:r>
    </w:p>
    <w:p>
      <w:pPr>
        <w:ind w:left="432"/>
      </w:pPr>
      <w:r>
        <w:rPr>
          <w:i/>
          <w:color w:val="444444"/>
        </w:rPr>
        <w:t>*"No existe un porcentaje máximo para el pago de honorarios; sin embargo, se recomienda no</w:t>
      </w:r>
    </w:p>
    <w:p>
      <w:pPr>
        <w:ind w:left="432"/>
      </w:pPr>
      <w:r>
        <w:rPr>
          <w:i/>
          <w:color w:val="444444"/>
        </w:rPr>
        <w:t>destinar la totalidad del fondo a este ítem."*</w:t>
      </w:r>
    </w:p>
    <w:p>
      <w:pPr>
        <w:spacing w:after="120"/>
      </w:pPr>
      <w:r>
        <w:t>Es una recomendación, no un tope. La única regla dura es el techo de $6.000.000.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Ítem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80"/>
            <w:shd w:val="clear" w:fill="E8F0E4"/>
          </w:tcPr>
          <w:p>
            <w:r>
              <w:rPr>
                <w:b/>
                <w:sz w:val="19"/>
              </w:rPr>
            </w:r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1. Honorarios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$3.606.750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60,2%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2. Producción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$1.727.880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28,8%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3. Otros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$660.450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11,0%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$5.995.080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</w:p>
        </w:tc>
      </w:tr>
    </w:tbl>
    <w:p/>
    <w:p>
      <w:pPr>
        <w:spacing w:after="120"/>
      </w:pPr>
      <w:r>
        <w:t xml:space="preserve">✅ </w:t>
      </w:r>
      <w:r>
        <w:rPr>
          <w:b/>
        </w:rPr>
        <w:t>Cumple sin problema.</w:t>
      </w:r>
      <w:r>
        <w:t xml:space="preserve"> No es la totalidad y queda un 40% en producción y materiales. Es</w:t>
      </w:r>
    </w:p>
    <w:p>
      <w:pPr>
        <w:spacing w:after="120"/>
      </w:pPr>
      <w:r>
        <w:t>defendible en la entrevista porque el proyecto es intensivo en trabajo humano (terreno con</w:t>
      </w:r>
    </w:p>
    <w:p>
      <w:pPr>
        <w:spacing w:after="120"/>
      </w:pPr>
      <w:r>
        <w:t>estudiantes, validación taxonómica, formación docente) y el equipamiento es de bajo costo por diseño.</w:t>
      </w:r>
    </w:p>
    <w:p>
      <w:pPr>
        <w:spacing w:after="120"/>
      </w:pPr>
      <w:r>
        <w:rPr>
          <w:b/>
        </w:rPr>
        <w:t>Otros dos puntos de la misma fuente:</w:t>
      </w:r>
    </w:p>
    <w:p>
      <w:pPr>
        <w:pStyle w:val="ListNumber"/>
      </w:pPr>
      <w:r>
        <w:rPr>
          <w:b/>
        </w:rPr>
        <w:t>Los $6.000.000 incluyen gastos administrativos</w:t>
      </w:r>
      <w:r>
        <w:t xml:space="preserve"> (pregunta I.1), y queda a criterio de cada</w:t>
      </w:r>
    </w:p>
    <w:p>
      <w:pPr>
        <w:spacing w:after="120"/>
      </w:pPr>
      <w:r>
        <w:t>postulante destinar o no parte a eso. Nosotros no cargamos overhead: todo va a ejecución.</w:t>
      </w:r>
    </w:p>
    <w:p>
      <w:pPr>
        <w:pStyle w:val="ListNumber"/>
      </w:pPr>
      <w:r>
        <w:rPr>
          <w:b/>
        </w:rPr>
        <w:t>Sobre impresión</w:t>
      </w:r>
      <w:r>
        <w:t xml:space="preserve"> (pregunta I.6): el fondo no financia proyectos cuyo objetivo principal sea</w:t>
      </w:r>
    </w:p>
    <w:p>
      <w:pPr>
        <w:spacing w:after="120"/>
      </w:pPr>
      <w:r>
        <w:t>imprimir, pero sí financia material educativo complementario *"siempre que no constituya el ítem</w:t>
      </w:r>
    </w:p>
    <w:p>
      <w:pPr>
        <w:spacing w:after="120"/>
      </w:pPr>
      <w:r>
        <w:t>principal del presupuesto"*. Nuestro ítem 3 completo es 11% y la línea de fichas y protocolo es</w:t>
      </w:r>
    </w:p>
    <w:p>
      <w:pPr>
        <w:spacing w:after="120"/>
      </w:pPr>
      <w:r>
        <w:t>3% del total. Bien cubiertos.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6. Advertencias sobre este cálculo</w:t>
      </w:r>
    </w:p>
    <w:p>
      <w:pPr>
        <w:pStyle w:val="ListNumber"/>
      </w:pPr>
      <w:r>
        <w:t xml:space="preserve">⚠️ </w:t>
      </w:r>
      <w:r>
        <w:rPr>
          <w:b/>
        </w:rPr>
        <w:t>La distribución mes a mes es una reconstrucción</w:t>
      </w:r>
      <w:r>
        <w:t>, no un dato del presupuesto, que no tiene</w:t>
      </w:r>
    </w:p>
    <w:p>
      <w:pPr>
        <w:spacing w:after="120"/>
      </w:pPr>
      <w:r>
        <w:t>columna de fechas. Se armó cruzando cada partida con la semana de su actividad en</w:t>
      </w:r>
    </w:p>
    <w:p>
      <w:pPr>
        <w:spacing w:after="120"/>
      </w:pPr>
      <w:r>
        <w:rPr>
          <w:rFonts w:ascii="Consolas" w:hAnsi="Consolas"/>
          <w:sz w:val="19"/>
        </w:rPr>
        <w:t>FMA_2026_ACTIVIDADES.md</w:t>
      </w:r>
      <w:r>
        <w:t xml:space="preserve">. </w:t>
      </w:r>
      <w:r>
        <w:rPr>
          <w:b/>
        </w:rPr>
        <w:t>Los totales cuadran exactos con los $5.995.080</w:t>
      </w:r>
      <w:r>
        <w:t>, pero el mes</w:t>
      </w:r>
    </w:p>
    <w:p>
      <w:pPr>
        <w:spacing w:after="120"/>
      </w:pPr>
      <w:r>
        <w:t>asignado a cada compra es una estimación razonable, no un compromiso.</w:t>
      </w:r>
    </w:p>
    <w:p>
      <w:pPr>
        <w:pStyle w:val="ListNumber"/>
      </w:pPr>
      <w:r>
        <w:rPr>
          <w:b/>
        </w:rPr>
        <w:t>La retención del 14,5% ($456.750) también es caja que sale</w:t>
      </w:r>
      <w:r>
        <w:t>, aunque va al SII y no a las</w:t>
      </w:r>
    </w:p>
    <w:p>
      <w:pPr>
        <w:spacing w:after="120"/>
      </w:pPr>
      <w:r>
        <w:t>personas. Está incluida en todos los números de arriba.</w:t>
      </w:r>
    </w:p>
    <w:p>
      <w:pPr>
        <w:pStyle w:val="ListNumber"/>
      </w:pPr>
      <w:r>
        <w:rPr>
          <w:b/>
        </w:rPr>
        <w:t>Ekuwün necesita poder operar esa caja</w:t>
      </w:r>
      <w:r>
        <w:t>: emitir y recibir boletas, y sostener el desfase si el</w:t>
      </w:r>
    </w:p>
    <w:p>
      <w:pPr>
        <w:spacing w:after="120"/>
      </w:pPr>
      <w:r>
        <w:t>segundo tramo llegara tarde de todos modos.</w:t>
      </w:r>
    </w:p>
    <w:p>
      <w:pPr>
        <w:spacing w:before="40" w:after="120"/>
        <w:pBdr>
          <w:bottom w:val="single" w:sz="6" w:color="BBBBBB"/>
        </w:pBdr>
      </w:pPr>
    </w:p>
    <w:p>
      <w:pPr>
        <w:pStyle w:val="Heading2"/>
      </w:pPr>
      <w:r>
        <w:rPr>
          <w:color w:val="1B4D3E"/>
        </w:rPr>
        <w:t>7. Reproducir el cálculo</w:t>
      </w:r>
    </w:p>
    <w:p>
      <w:pPr>
        <w:spacing w:after="120"/>
      </w:pPr>
      <w:r>
        <w:t>La lógica es: cada partida del presupuesto se asigna al mes de su actividad en el plan de</w:t>
      </w:r>
    </w:p>
    <w:p>
      <w:pPr>
        <w:spacing w:after="120"/>
      </w:pPr>
      <w:r>
        <w:t>actividades (semanas 1-4 diciembre, 5-8 enero, 9-12 febrero, 13-16 marzo, 17-20 abril, 21-24 mayo,</w:t>
      </w:r>
    </w:p>
    <w:p>
      <w:pPr>
        <w:spacing w:after="120"/>
      </w:pPr>
      <w:r>
        <w:t>25-28 junio, 29-32 julio, 33-36 agosto). Los honorarios se multiplican por 1,145 por la retención y</w:t>
      </w:r>
    </w:p>
    <w:p>
      <w:pPr>
        <w:spacing w:after="120"/>
      </w:pPr>
      <w:r>
        <w:t>las compras de los ítems 2 y 3 por 1,19 por el IVA.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