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4D3E"/>
        </w:rPr>
        <w:t>Textos enviados en la postulación FMA 2026-2027</w:t>
      </w:r>
    </w:p>
    <w:p>
      <w:pPr>
        <w:spacing w:after="120"/>
      </w:pPr>
      <w:r>
        <w:rPr>
          <w:b/>
        </w:rPr>
        <w:t>Postulación ID:</w:t>
      </w:r>
      <w:r>
        <w:t xml:space="preserve"> 1593168 · </w:t>
      </w:r>
      <w:r>
        <w:rPr>
          <w:b/>
        </w:rPr>
        <w:t>Estado:</w:t>
      </w:r>
      <w:r>
        <w:t xml:space="preserve"> Enviada · </w:t>
      </w:r>
      <w:r>
        <w:rPr>
          <w:b/>
        </w:rPr>
        <w:t>Fecha de envío:</w:t>
      </w:r>
      <w:r>
        <w:t xml:space="preserve"> 24 de agosto de 2026</w:t>
      </w:r>
    </w:p>
    <w:p>
      <w:pPr>
        <w:spacing w:after="120"/>
      </w:pPr>
      <w:r>
        <w:rPr>
          <w:b/>
        </w:rPr>
        <w:t>Postula:</w:t>
      </w:r>
      <w:r>
        <w:t xml:space="preserve"> Acción Ecologista Ekuwün (ONG) · </w:t>
      </w:r>
      <w:r>
        <w:rPr>
          <w:b/>
        </w:rPr>
        <w:t>Responsable:</w:t>
      </w:r>
      <w:r>
        <w:t xml:space="preserve"> Daniela Aros Bustamante</w:t>
      </w:r>
    </w:p>
    <w:p>
      <w:pPr>
        <w:spacing w:after="120"/>
      </w:pPr>
      <w:r>
        <w:rPr>
          <w:b/>
        </w:rPr>
        <w:t>Monto solicitado:</w:t>
      </w:r>
      <w:r>
        <w:t xml:space="preserve"> $5.995.080 · </w:t>
      </w:r>
      <w:r>
        <w:rPr>
          <w:b/>
        </w:rPr>
        <w:t>Ejecución:</w:t>
      </w:r>
      <w:r>
        <w:t xml:space="preserve"> 1 de diciembre de 2026 al 31 de agosto de 2027</w:t>
      </w:r>
    </w:p>
    <w:p>
      <w:pPr>
        <w:ind w:left="432"/>
      </w:pPr>
      <w:r>
        <w:rPr>
          <w:b/>
          <w:i/>
          <w:color w:val="444444"/>
        </w:rPr>
        <w:t>Qué es este documento.</w:t>
      </w:r>
      <w:r>
        <w:rPr>
          <w:i/>
          <w:color w:val="444444"/>
        </w:rPr>
        <w:t xml:space="preserve"> La transcripción literal de los </w:t>
      </w:r>
      <w:r>
        <w:rPr>
          <w:b/>
          <w:i/>
          <w:color w:val="444444"/>
        </w:rPr>
        <w:t>15 campos de texto abierto</w:t>
      </w:r>
      <w:r>
        <w:rPr>
          <w:i/>
          <w:color w:val="444444"/>
        </w:rPr>
        <w:t xml:space="preserve"> tal como</w:t>
      </w:r>
    </w:p>
    <w:p>
      <w:pPr>
        <w:ind w:left="432"/>
      </w:pPr>
      <w:r>
        <w:rPr>
          <w:i/>
          <w:color w:val="444444"/>
        </w:rPr>
        <w:t>quedaron enviados, recuperada del PDF de resumen que entrega el portal. Reemplaza al historial de</w:t>
      </w:r>
    </w:p>
    <w:p>
      <w:pPr>
        <w:ind w:left="432"/>
      </w:pPr>
      <w:r>
        <w:rPr>
          <w:i/>
          <w:color w:val="444444"/>
        </w:rPr>
        <w:t xml:space="preserve">chat como fuente. </w:t>
      </w:r>
      <w:r>
        <w:rPr>
          <w:b/>
          <w:i/>
          <w:color w:val="444444"/>
        </w:rPr>
        <w:t>Es la base para preparar la entrevista de preselección.</w:t>
      </w:r>
    </w:p>
    <w:p>
      <w:pPr>
        <w:ind w:left="432"/>
      </w:pPr>
      <w:r>
        <w:rPr>
          <w:i/>
          <w:color w:val="444444"/>
        </w:rPr>
        <w:t xml:space="preserve">⚠️ </w:t>
      </w:r>
      <w:r>
        <w:rPr>
          <w:b/>
          <w:i/>
          <w:color w:val="444444"/>
        </w:rPr>
        <w:t>Los textos están congelados.</w:t>
      </w:r>
      <w:r>
        <w:rPr>
          <w:i/>
          <w:color w:val="444444"/>
        </w:rPr>
        <w:t xml:space="preserve"> Lo que dice acá es lo que leerá el comité. Las erratas se</w:t>
      </w:r>
    </w:p>
    <w:p>
      <w:pPr>
        <w:ind w:left="432"/>
      </w:pPr>
      <w:r>
        <w:rPr>
          <w:i/>
          <w:color w:val="444444"/>
        </w:rPr>
        <w:t>anotan al final, no se corrigen arriba.</w:t>
      </w:r>
    </w:p>
    <w:p>
      <w:pPr>
        <w:ind w:left="432"/>
      </w:pPr>
      <w:r>
        <w:rPr>
          <w:i/>
          <w:color w:val="444444"/>
        </w:rPr>
        <w:t xml:space="preserve">🔴 </w:t>
      </w:r>
      <w:r>
        <w:rPr>
          <w:b/>
          <w:i/>
          <w:color w:val="444444"/>
        </w:rPr>
        <w:t>No se transcriben acá el RUT de la organización, el correo personal ni el año de nacimiento</w:t>
      </w:r>
      <w:r>
        <w:rPr>
          <w:i/>
          <w:color w:val="444444"/>
        </w:rPr>
        <w:t>,</w:t>
      </w:r>
    </w:p>
    <w:p>
      <w:pPr>
        <w:ind w:left="432"/>
      </w:pPr>
      <w:r>
        <w:rPr>
          <w:i/>
          <w:color w:val="444444"/>
        </w:rPr>
        <w:t>porque este repositorio es público.</w:t>
      </w:r>
    </w:p>
    <w:p>
      <w:pPr>
        <w:spacing w:before="40" w:after="120"/>
        <w:pBdr>
          <w:bottom w:val="single" w:sz="6" w:color="BBBBBB"/>
        </w:pBdr>
      </w:pPr>
    </w:p>
    <w:p>
      <w:pPr>
        <w:pStyle w:val="Heading2"/>
      </w:pPr>
      <w:r>
        <w:rPr>
          <w:color w:val="1B4D3E"/>
        </w:rPr>
        <w:t>Datos de selección (no son texto abierto)</w:t>
      </w:r>
    </w:p>
    <w:tbl>
      <w:tblPr>
        <w:tblStyle w:val="TableGrid"/>
        <w:tblW w:type="auto" w:w="0"/>
        <w:jc w:val="center"/>
        <w:tblLook w:firstColumn="1" w:firstRow="1" w:lastColumn="0" w:lastRow="0" w:noHBand="0" w:noVBand="1" w:val="04A0"/>
      </w:tblPr>
      <w:tblGrid>
        <w:gridCol w:w="4320"/>
        <w:gridCol w:w="4320"/>
      </w:tblGrid>
      <w:tr>
        <w:tc>
          <w:tcPr>
            <w:tcW w:type="dxa" w:w="4320"/>
            <w:shd w:val="clear" w:fill="E8F0E4"/>
          </w:tcPr>
          <w:p>
            <w:r>
              <w:rPr>
                <w:b/>
                <w:sz w:val="19"/>
              </w:rPr>
            </w:r>
            <w:r>
              <w:rPr>
                <w:b/>
                <w:sz w:val="19"/>
              </w:rPr>
              <w:t>Campo</w:t>
            </w:r>
          </w:p>
        </w:tc>
        <w:tc>
          <w:tcPr>
            <w:tcW w:type="dxa" w:w="4320"/>
            <w:shd w:val="clear" w:fill="E8F0E4"/>
          </w:tcPr>
          <w:p>
            <w:r>
              <w:rPr>
                <w:b/>
                <w:sz w:val="19"/>
              </w:rPr>
            </w:r>
            <w:r>
              <w:rPr>
                <w:b/>
                <w:sz w:val="19"/>
              </w:rPr>
              <w:t>Valor enviado</w:t>
            </w:r>
          </w:p>
        </w:tc>
      </w:tr>
      <w:tr>
        <w:tc>
          <w:tcPr>
            <w:tcW w:type="dxa" w:w="4320"/>
          </w:tcPr>
          <w:p>
            <w:r>
              <w:rPr>
                <w:sz w:val="19"/>
              </w:rPr>
            </w:r>
            <w:r>
              <w:rPr>
                <w:b/>
                <w:sz w:val="19"/>
              </w:rPr>
              <w:t>Título</w:t>
            </w:r>
          </w:p>
        </w:tc>
        <w:tc>
          <w:tcPr>
            <w:tcW w:type="dxa" w:w="4320"/>
          </w:tcPr>
          <w:p>
            <w:r>
              <w:rPr>
                <w:sz w:val="19"/>
              </w:rPr>
            </w:r>
            <w:r>
              <w:rPr>
                <w:sz w:val="19"/>
              </w:rPr>
              <w:t>Construcción del Observatorio Ciudadano de Arbolado Urbano de Temuco: una experiencia de ciencia ciudadana para el conocimiento y monitorio de la biodiversidad urbana</w:t>
            </w:r>
          </w:p>
        </w:tc>
      </w:tr>
      <w:tr>
        <w:tc>
          <w:tcPr>
            <w:tcW w:type="dxa" w:w="4320"/>
          </w:tcPr>
          <w:p>
            <w:r>
              <w:rPr>
                <w:sz w:val="19"/>
              </w:rPr>
            </w:r>
            <w:r>
              <w:rPr>
                <w:sz w:val="19"/>
              </w:rPr>
              <w:t>Temática</w:t>
            </w:r>
          </w:p>
        </w:tc>
        <w:tc>
          <w:tcPr>
            <w:tcW w:type="dxa" w:w="4320"/>
          </w:tcPr>
          <w:p>
            <w:r>
              <w:rPr>
                <w:sz w:val="19"/>
              </w:rPr>
            </w:r>
            <w:r>
              <w:rPr>
                <w:sz w:val="19"/>
              </w:rPr>
              <w:t>Monitoreo de territorios, biodiversidad y/o ecosistemas subrepresentados</w:t>
            </w:r>
          </w:p>
        </w:tc>
      </w:tr>
      <w:tr>
        <w:tc>
          <w:tcPr>
            <w:tcW w:type="dxa" w:w="4320"/>
          </w:tcPr>
          <w:p>
            <w:r>
              <w:rPr>
                <w:sz w:val="19"/>
              </w:rPr>
            </w:r>
            <w:r>
              <w:rPr>
                <w:sz w:val="19"/>
              </w:rPr>
              <w:t>Palabras clave</w:t>
            </w:r>
          </w:p>
        </w:tc>
        <w:tc>
          <w:tcPr>
            <w:tcW w:type="dxa" w:w="4320"/>
          </w:tcPr>
          <w:p>
            <w:r>
              <w:rPr>
                <w:sz w:val="19"/>
              </w:rPr>
            </w:r>
            <w:r>
              <w:rPr>
                <w:sz w:val="19"/>
              </w:rPr>
              <w:t>Biodiversidad · Arbolado · Ciencia</w:t>
            </w:r>
          </w:p>
        </w:tc>
      </w:tr>
      <w:tr>
        <w:tc>
          <w:tcPr>
            <w:tcW w:type="dxa" w:w="4320"/>
          </w:tcPr>
          <w:p>
            <w:r>
              <w:rPr>
                <w:sz w:val="19"/>
              </w:rPr>
            </w:r>
            <w:r>
              <w:rPr>
                <w:sz w:val="19"/>
              </w:rPr>
              <w:t>Postula como organización</w:t>
            </w:r>
          </w:p>
        </w:tc>
        <w:tc>
          <w:tcPr>
            <w:tcW w:type="dxa" w:w="4320"/>
          </w:tcPr>
          <w:p>
            <w:r>
              <w:rPr>
                <w:sz w:val="19"/>
              </w:rPr>
            </w:r>
            <w:r>
              <w:rPr>
                <w:sz w:val="19"/>
              </w:rPr>
              <w:t>Sí · ONG</w:t>
            </w:r>
          </w:p>
        </w:tc>
      </w:tr>
      <w:tr>
        <w:tc>
          <w:tcPr>
            <w:tcW w:type="dxa" w:w="4320"/>
          </w:tcPr>
          <w:p>
            <w:r>
              <w:rPr>
                <w:sz w:val="19"/>
              </w:rPr>
            </w:r>
            <w:r>
              <w:rPr>
                <w:sz w:val="19"/>
              </w:rPr>
              <w:t>Socios</w:t>
            </w:r>
          </w:p>
        </w:tc>
        <w:tc>
          <w:tcPr>
            <w:tcW w:type="dxa" w:w="4320"/>
          </w:tcPr>
          <w:p>
            <w:r>
              <w:rPr>
                <w:sz w:val="19"/>
              </w:rPr>
            </w:r>
            <w:r>
              <w:rPr>
                <w:sz w:val="19"/>
              </w:rPr>
              <w:t>Sí, con personalidad jurídica</w:t>
            </w:r>
          </w:p>
        </w:tc>
      </w:tr>
      <w:tr>
        <w:tc>
          <w:tcPr>
            <w:tcW w:type="dxa" w:w="4320"/>
          </w:tcPr>
          <w:p>
            <w:r>
              <w:rPr>
                <w:sz w:val="19"/>
              </w:rPr>
            </w:r>
            <w:r>
              <w:rPr>
                <w:sz w:val="19"/>
              </w:rPr>
              <w:t>Cartas de apoyo</w:t>
            </w:r>
          </w:p>
        </w:tc>
        <w:tc>
          <w:tcPr>
            <w:tcW w:type="dxa" w:w="4320"/>
          </w:tcPr>
          <w:p>
            <w:r>
              <w:rPr>
                <w:sz w:val="19"/>
              </w:rPr>
            </w:r>
            <w:r>
              <w:rPr>
                <w:sz w:val="19"/>
              </w:rPr>
              <w:t xml:space="preserve">✅ </w:t>
            </w:r>
            <w:r>
              <w:rPr>
                <w:b/>
                <w:sz w:val="19"/>
              </w:rPr>
              <w:t>Adjuntas</w:t>
            </w:r>
          </w:p>
        </w:tc>
      </w:tr>
      <w:tr>
        <w:tc>
          <w:tcPr>
            <w:tcW w:type="dxa" w:w="4320"/>
          </w:tcPr>
          <w:p>
            <w:r>
              <w:rPr>
                <w:sz w:val="19"/>
              </w:rPr>
            </w:r>
            <w:r>
              <w:rPr>
                <w:sz w:val="19"/>
              </w:rPr>
              <w:t>Región y comuna</w:t>
            </w:r>
          </w:p>
        </w:tc>
        <w:tc>
          <w:tcPr>
            <w:tcW w:type="dxa" w:w="4320"/>
          </w:tcPr>
          <w:p>
            <w:r>
              <w:rPr>
                <w:sz w:val="19"/>
              </w:rPr>
            </w:r>
            <w:r>
              <w:rPr>
                <w:sz w:val="19"/>
              </w:rPr>
              <w:t>La Araucanía · Temuco</w:t>
            </w:r>
          </w:p>
        </w:tc>
      </w:tr>
      <w:tr>
        <w:tc>
          <w:tcPr>
            <w:tcW w:type="dxa" w:w="4320"/>
          </w:tcPr>
          <w:p>
            <w:r>
              <w:rPr>
                <w:sz w:val="19"/>
              </w:rPr>
            </w:r>
            <w:r>
              <w:rPr>
                <w:sz w:val="19"/>
              </w:rPr>
              <w:t>Integrantes del equipo</w:t>
            </w:r>
          </w:p>
        </w:tc>
        <w:tc>
          <w:tcPr>
            <w:tcW w:type="dxa" w:w="4320"/>
          </w:tcPr>
          <w:p>
            <w:r>
              <w:rPr>
                <w:sz w:val="19"/>
              </w:rPr>
            </w:r>
            <w:r>
              <w:rPr>
                <w:sz w:val="19"/>
              </w:rPr>
              <w:t>6</w:t>
            </w:r>
          </w:p>
        </w:tc>
      </w:tr>
      <w:tr>
        <w:tc>
          <w:tcPr>
            <w:tcW w:type="dxa" w:w="4320"/>
          </w:tcPr>
          <w:p>
            <w:r>
              <w:rPr>
                <w:sz w:val="19"/>
              </w:rPr>
            </w:r>
            <w:r>
              <w:rPr>
                <w:sz w:val="19"/>
              </w:rPr>
              <w:t>Área 1 / Disciplina 1</w:t>
            </w:r>
          </w:p>
        </w:tc>
        <w:tc>
          <w:tcPr>
            <w:tcW w:type="dxa" w:w="4320"/>
          </w:tcPr>
          <w:p>
            <w:r>
              <w:rPr>
                <w:sz w:val="19"/>
              </w:rPr>
            </w:r>
            <w:r>
              <w:rPr>
                <w:sz w:val="19"/>
              </w:rPr>
              <w:t>Ciencias naturales y exactas / Ecología y gestión ambiental</w:t>
            </w:r>
          </w:p>
        </w:tc>
      </w:tr>
      <w:tr>
        <w:tc>
          <w:tcPr>
            <w:tcW w:type="dxa" w:w="4320"/>
          </w:tcPr>
          <w:p>
            <w:r>
              <w:rPr>
                <w:sz w:val="19"/>
              </w:rPr>
            </w:r>
            <w:r>
              <w:rPr>
                <w:sz w:val="19"/>
              </w:rPr>
              <w:t>Área 2 / Disciplina 2</w:t>
            </w:r>
          </w:p>
        </w:tc>
        <w:tc>
          <w:tcPr>
            <w:tcW w:type="dxa" w:w="4320"/>
          </w:tcPr>
          <w:p>
            <w:r>
              <w:rPr>
                <w:sz w:val="19"/>
              </w:rPr>
            </w:r>
            <w:r>
              <w:rPr>
                <w:sz w:val="19"/>
              </w:rPr>
              <w:t>Ciencias sociales / Educación ambiental</w:t>
            </w:r>
          </w:p>
        </w:tc>
      </w:tr>
      <w:tr>
        <w:tc>
          <w:tcPr>
            <w:tcW w:type="dxa" w:w="4320"/>
          </w:tcPr>
          <w:p>
            <w:r>
              <w:rPr>
                <w:sz w:val="19"/>
              </w:rPr>
            </w:r>
            <w:r>
              <w:rPr>
                <w:sz w:val="19"/>
              </w:rPr>
              <w:t>Área 3 / Disciplina 3</w:t>
            </w:r>
          </w:p>
        </w:tc>
        <w:tc>
          <w:tcPr>
            <w:tcW w:type="dxa" w:w="4320"/>
          </w:tcPr>
          <w:p>
            <w:r>
              <w:rPr>
                <w:sz w:val="19"/>
              </w:rPr>
            </w:r>
            <w:r>
              <w:rPr>
                <w:sz w:val="19"/>
              </w:rPr>
              <w:t>Arte / Arte</w:t>
            </w:r>
          </w:p>
        </w:tc>
      </w:tr>
      <w:tr>
        <w:tc>
          <w:tcPr>
            <w:tcW w:type="dxa" w:w="4320"/>
          </w:tcPr>
          <w:p>
            <w:r>
              <w:rPr>
                <w:sz w:val="19"/>
              </w:rPr>
            </w:r>
            <w:r>
              <w:rPr>
                <w:sz w:val="19"/>
              </w:rPr>
              <w:t>Validación previa</w:t>
            </w:r>
          </w:p>
        </w:tc>
        <w:tc>
          <w:tcPr>
            <w:tcW w:type="dxa" w:w="4320"/>
          </w:tcPr>
          <w:p>
            <w:r>
              <w:rPr>
                <w:sz w:val="19"/>
              </w:rPr>
            </w:r>
            <w:r>
              <w:rPr>
                <w:sz w:val="19"/>
              </w:rPr>
              <w:t>Sí</w:t>
            </w:r>
          </w:p>
        </w:tc>
      </w:tr>
      <w:tr>
        <w:tc>
          <w:tcPr>
            <w:tcW w:type="dxa" w:w="4320"/>
          </w:tcPr>
          <w:p>
            <w:r>
              <w:rPr>
                <w:sz w:val="19"/>
              </w:rPr>
            </w:r>
            <w:r>
              <w:rPr>
                <w:sz w:val="19"/>
              </w:rPr>
              <w:t>Financiamiento FMA anterior</w:t>
            </w:r>
          </w:p>
        </w:tc>
        <w:tc>
          <w:tcPr>
            <w:tcW w:type="dxa" w:w="4320"/>
          </w:tcPr>
          <w:p>
            <w:r>
              <w:rPr>
                <w:sz w:val="19"/>
              </w:rPr>
            </w:r>
            <w:r>
              <w:rPr>
                <w:sz w:val="19"/>
              </w:rPr>
              <w:t>No</w:t>
            </w:r>
          </w:p>
        </w:tc>
      </w:tr>
    </w:tbl>
    <w:p/>
    <w:p>
      <w:pPr>
        <w:spacing w:before="40" w:after="120"/>
        <w:pBdr>
          <w:bottom w:val="single" w:sz="6" w:color="BBBBBB"/>
        </w:pBdr>
      </w:pPr>
    </w:p>
    <w:p>
      <w:pPr>
        <w:pStyle w:val="Heading2"/>
      </w:pPr>
      <w:r>
        <w:rPr>
          <w:color w:val="1B4D3E"/>
        </w:rPr>
        <w:t>3.3 · Objetivo general (máx. 300 palabras)</w:t>
      </w:r>
    </w:p>
    <w:p>
      <w:pPr>
        <w:spacing w:after="120"/>
      </w:pPr>
      <w:r>
        <w:t>Generar una primera línea base ciudadana del arbolado urbano y de la biodiversidad asociada a 3 comunidades educativas de Temuco, desarrollando y poniendo a prueba una metodología participativa para su caracterización y monitoreo en el tiempo. Estudiantes de las escuelas Los Trigales, Campos Deportivos y Hablarte participarán en un proceso de ciencia ciudadana para caracterizar al menos 180 árboles de sus barrios. Registrarán especie, tamaño, altura, cobertura de copa y estado sanitario, además de observar y documentar la biodiversidad asociada, como líquenes, hongos, insectos y aves. Cada árbol contará con un código, ubicación y registro fotográfico que permitirá volver a observarlo y monitorearlo. La información permitirá investigar qué características de los árboles y de su entorno favorecen la biodiversidad urbana, y estimar algunos servicios ecosistémicos, como cobertura de sombra y carbono almacenado, utilizando metodologías transparentes señalando las limitaciones de estas estimaciones. El proyecto busca ir más allá de un catastro: desarrollará protocolos, fichas, materiales educativos y capacidades en las comunidades educativas, dejando instalada una metodología que pueda repetirse, ampliarse y mejorar con el tiempo, sentando las primeras bases del Observatorio Ciudadano del Arbolado Urbano de Temuco. La propuesta integra ecología, educación, participación comunitaria y expresión artística, con herramientas diseñadas para que niñas y niños con distintas capacidades puedan participar mediante diferentes roles: observar, medir, fotografiar, identificar, registrar y comunicar. Las observaciones ciudadanas serán posteriormente revisadas y validadas por especialistas. Así, buscamos generar conocimiento sobre la biodiversidad urbana de Temuco y fortalecer las capacidades de las comunidades para conocer, valorar y contribuir al cuidado de su arbolado y de la vida que sostiene.</w:t>
      </w:r>
    </w:p>
    <w:p>
      <w:pPr>
        <w:spacing w:before="40" w:after="120"/>
        <w:pBdr>
          <w:bottom w:val="single" w:sz="6" w:color="BBBBBB"/>
        </w:pBdr>
      </w:pPr>
    </w:p>
    <w:p>
      <w:pPr>
        <w:pStyle w:val="Heading2"/>
      </w:pPr>
      <w:r>
        <w:rPr>
          <w:color w:val="1B4D3E"/>
        </w:rPr>
        <w:t>3.5 · Beneficiarios directos (máx. 300 palabras)</w:t>
      </w:r>
    </w:p>
    <w:p>
      <w:pPr>
        <w:spacing w:after="120"/>
      </w:pPr>
      <w:r>
        <w:t>Los beneficiarios directos serán las comunidades educativas de las escuelas Los Trigales, Campos Deportivos y Hablaarte de Temuco. Participarán aproximadamente 150 estudiantes, de uno o dos cursos por establecimiento, junto a docentes y profesionales de apoyo. La elección de estas tres escuelas responde a que son comunidades diferentes entre sí y nos permiten acercarnos al arbolado urbano desde distintas experiencias. En Los Trigales existe una importante diversidad cultural y lingüística; Campos Deportivos nos permitirá trabajar con una comunidad educativa numerosa y con las características propias de su entorno; y Hablaarte, como escuela de lenguaje, trabaja con estudiantes que están desarrollando sus habilidades de comunicación oral y escrita, lo que exige diseñar herramientas visuales, concretas y accesibles que no dependan exclusivamente de la lectoescritura. Los docentes y profesionales de los establecimientos participarán en instancias de formación y acompañarán las actividades de terreno. Recibirán protocolos, fichas y materiales educativos que podrán seguir utilizando después del proyecto, permitiendo que las comunidades educativas mantengan y amplíen el proceso de monitoreo. De esta manera, los beneficiarios directos no solo adquieren conocimientos sobre biodiversidad y arbolado urbano, sino también capacidades para observar, investigar y participar activamente en el cuidado de su entorno.</w:t>
      </w:r>
    </w:p>
    <w:p>
      <w:pPr>
        <w:spacing w:before="40" w:after="120"/>
        <w:pBdr>
          <w:bottom w:val="single" w:sz="6" w:color="BBBBBB"/>
        </w:pBdr>
      </w:pPr>
    </w:p>
    <w:p>
      <w:pPr>
        <w:pStyle w:val="Heading2"/>
      </w:pPr>
      <w:r>
        <w:rPr>
          <w:color w:val="1B4D3E"/>
        </w:rPr>
        <w:t>3.6 · Beneficiarios indirectos (máx. 300 palabras)</w:t>
      </w:r>
    </w:p>
    <w:p>
      <w:pPr>
        <w:spacing w:after="120"/>
      </w:pPr>
      <w:r>
        <w:t>Los beneficiarios indirectos serán, en primer lugar, las comunidades y familias de los barrios donde se desarrollará el proyecto. La información generada sobre los árboles y la biodiversidad asociada será devuelta a los territorios mediante fichas, mapas y actividades de comunicación, permitiendo conocer y valorar el patrimonio natural de sus barrios y fortalecer su participación en el cuidado del arbolado. Las familias de los estudiantes también se beneficiarán al recibir y compartir los conocimientos generados por niñas y niños, fortaleciendo el vínculo entre escuela, familia y territorio. La Municipalidad de Temuco podrá contar con información ciudadana sistematizada sobre al menos 180 árboles, levantada mediante una metodología explícita y replicable, que podrá complementar el conocimiento existente y aportar a futuras acciones de gestión, planificación y protección del arbolado urbano. La comunidad científica y organizaciones socioambientales podrán acceder a registros de biodiversidad que sean validados y apropiados para su incorporación en bases de datos abiertas. Además, se elaborará al menos una publicación científica (paper) a partir de los resultados obtenidos, contribuyendo al conocimiento sobre biodiversidad urbana y ciencia ciudadana. La comuna de Temuco en su conjunto constituye un beneficiario indirecto del proyecto. Contar con una primera base de información sobre su arbolado permitirá avanzar hacia un mejor conocimiento de un componente fundamental de la infraestructura ecológica urbana, que proporciona hábitat para otras especies, sombra, regulación de temperatura, almacenamiento de carbono y otros servicios ecosistémicos. Esta información podrá constituir un punto de partida para futuros monitoreos, acciones de conservación y valoración del arbolado. Finalmente, otras escuelas y organizaciones comunitarias podrán acceder a los protocolos, fichas y materiales desarrollados, favoreciendo la adaptación y réplica de la metodología en otros sectores de Temuco.</w:t>
      </w:r>
    </w:p>
    <w:p>
      <w:pPr>
        <w:spacing w:before="40" w:after="120"/>
        <w:pBdr>
          <w:bottom w:val="single" w:sz="6" w:color="BBBBBB"/>
        </w:pBdr>
      </w:pPr>
    </w:p>
    <w:p>
      <w:pPr>
        <w:pStyle w:val="Heading2"/>
      </w:pPr>
      <w:r>
        <w:rPr>
          <w:color w:val="1B4D3E"/>
        </w:rPr>
        <w:t>3.7 · Metas, resultados esperados y verificación (máx. 500 palabras)</w:t>
      </w:r>
    </w:p>
    <w:p>
      <w:pPr>
        <w:spacing w:after="120"/>
      </w:pPr>
      <w:r>
        <w:t>El proyecto busca poner en funcionamiento una primera etapa del Observatorio Ciudadano del Arbolado Urbano de Temuco, generando una línea base de árboles y biodiversidad asociada y dejando instaladas las capacidades, herramientas y metodología necesarias para continuar su monitoreo.</w:t>
      </w:r>
    </w:p>
    <w:p>
      <w:pPr>
        <w:pStyle w:val="ListNumber"/>
      </w:pPr>
      <w:r>
        <w:rPr>
          <w:b/>
        </w:rPr>
        <w:t>Generar la línea base ciudadana.</w:t>
      </w:r>
      <w:r>
        <w:t xml:space="preserve"> Caracterizar al menos 180 árboles, con 210 como meta, en los barrios de las tres escuelas participantes, registrando especie, ubicación, dimensiones, estado sanitario, fotografías y biodiversidad asociada. Cada ejemplar contará con un código que permita volver a localizarlo. El cumplimiento se verificará mediante la base de datos, fichas de terreno y registros de biodiversidad.</w:t>
      </w:r>
    </w:p>
    <w:p>
      <w:pPr>
        <w:pStyle w:val="ListNumber"/>
      </w:pPr>
      <w:r>
        <w:rPr>
          <w:b/>
        </w:rPr>
        <w:t>Vincular observación ciudadana y análisis territorial.</w:t>
      </w:r>
      <w:r>
        <w:t xml:space="preserve"> Contrastar las mediciones realizadas árbol por árbol con información obtenida mediante imágenes satelitales y SIG. Esto permitirá evaluar cuánto de la cobertura vegetal identificada remotamente corresponde efectivamente a cobertura arbórea en los sectores estudiados. El resultado quedará documentado en la base de datos y en un informe metodológico.</w:t>
      </w:r>
    </w:p>
    <w:p>
      <w:pPr>
        <w:pStyle w:val="ListNumber"/>
      </w:pPr>
      <w:r>
        <w:rPr>
          <w:b/>
        </w:rPr>
        <w:t>Generar conocimiento sobre biodiversidad urbana.</w:t>
      </w:r>
      <w:r>
        <w:t xml:space="preserve"> Confirmar la identificación de al menos el 90% de las especies mediante validación especializada y analizar qué características del árbol y de su entorno se relacionan con la biodiversidad observada. Se elaborará un informe de línea base y se trabajará en al menos un manuscrito científico a partir de los resultados.</w:t>
      </w:r>
    </w:p>
    <w:p>
      <w:pPr>
        <w:pStyle w:val="ListNumber"/>
      </w:pPr>
      <w:r>
        <w:rPr>
          <w:b/>
        </w:rPr>
        <w:t>Estimar servicios ecosistémicos.</w:t>
      </w:r>
      <w:r>
        <w:t xml:space="preserve"> Calcular, mediante metodologías reconocidas, variables como cobertura de copa, sombra y carbono almacenado, explicitando los métodos y limitaciones de cada estimación.</w:t>
      </w:r>
    </w:p>
    <w:p>
      <w:pPr>
        <w:pStyle w:val="ListNumber"/>
      </w:pPr>
      <w:r>
        <w:rPr>
          <w:b/>
        </w:rPr>
        <w:t>Dejar instalado el Observatorio.</w:t>
      </w:r>
      <w:r>
        <w:t xml:space="preserve"> Desarrollar un protocolo de monitoreo y revisita, capacitar al menos seis docentes o profesionales, entregar tres kits de ciencia ciudadana y dejar fichas, materiales educativos y una plataforma de visualización de los datos generados.</w:t>
      </w:r>
    </w:p>
    <w:p>
      <w:pPr>
        <w:pStyle w:val="ListNumber"/>
      </w:pPr>
      <w:r>
        <w:rPr>
          <w:b/>
        </w:rPr>
        <w:t>Conectar el Observatorio con los territorios.</w:t>
      </w:r>
      <w:r>
        <w:t xml:space="preserve"> Realizar al menos tres actividades de devolución comunitaria, involucrando escuelas, familias, organizaciones barriales y personas mayores, para compartir los resultados y promover la valoración y protección del arbolado.</w:t>
      </w:r>
    </w:p>
    <w:p>
      <w:pPr>
        <w:spacing w:after="120"/>
      </w:pPr>
      <w:r>
        <w:t>El cumplimiento será verificado mediante bases de datos, fichas, registros fotográficos, informes, productos científicos, actas de entrega, registros de capacitación y actividades comunitarias. Los datos y resultados serán publicados con transparencia respecto de sus métodos y limitaciones.</w:t>
      </w:r>
    </w:p>
    <w:p>
      <w:pPr>
        <w:spacing w:before="40" w:after="120"/>
        <w:pBdr>
          <w:bottom w:val="single" w:sz="6" w:color="BBBBBB"/>
        </w:pBdr>
      </w:pPr>
    </w:p>
    <w:p>
      <w:pPr>
        <w:pStyle w:val="Heading2"/>
      </w:pPr>
      <w:r>
        <w:rPr>
          <w:color w:val="1B4D3E"/>
        </w:rPr>
        <w:t>3.20 · Actividades de validación y divulgación previas (máx. 300 palabras)</w:t>
      </w:r>
    </w:p>
    <w:p>
      <w:pPr>
        <w:spacing w:after="120"/>
      </w:pPr>
      <w:r>
        <w:t>La propuesta nace de la experiencia de Acción Ecologista Ekuwün en procesos de participación ciudadana vinculados al conocimiento y defensa del arbolado urbano, y de una preocupación que hemos visto crecer en Temuco: conocemos muchos árboles por separado, pero contamos con poca información sistematizada sobre el arbolado de la ciudad y la biodiversidad que sostiene. En febrero de 2026, Ekuwün participó, junto a otras organizaciones socioambientales de Temuco, en una jornada de Catastro de Árboles Urbanos, realizada en el contexto de la preocupación por los árboles amenazados por el proyecto de mejoramiento de Av. Caupolicán. La actividad permitió que personas de la comunidad levantaran información directamente en terreno, registrando aspectos como especie, ubicación, diámetro del tronco y altura. La experiencia fue importante para nosotros porque permitió ver, en la práctica, que existe interés por conocer y registrar el arbolado de la ciudad y que es posible levantar información básica mediante participación ciudadana. Al mismo tiempo, mostró la necesidad de contar con registros más sistemáticos, que puedan ser revisados, actualizados y comparados en el tiempo. Desde ahí comenzó a tomar forma la idea del Observatorio Ciudadano del Arbolado Urbano de Temuco. La propuesta busca dar un paso más allá del catastro: conocer las características de los árboles, observar la biodiversidad asociada a ellos y analizar cómo se distribuye el arbolado en distintos sectores de la ciudad, combinando el trabajo en terreno con educación, participación y herramientas de análisis territorial. Actualmente, esta idea se encuentra en desarrollo junto a las comunidades educativas de las escuelas Los Trigales, Campos Deportivos y Hablaarte, que serán parte de la experiencia piloto. El proyecto surge así de una experiencia concreta de participación ciudadana y busca transformarla en un proceso más sistemático de aprendizaje y generación de conocimiento sobre el arbolado urbano de Temuco.</w:t>
      </w:r>
    </w:p>
    <w:p>
      <w:pPr>
        <w:spacing w:before="40" w:after="120"/>
        <w:pBdr>
          <w:bottom w:val="single" w:sz="6" w:color="BBBBBB"/>
        </w:pBdr>
      </w:pPr>
    </w:p>
    <w:p>
      <w:pPr>
        <w:pStyle w:val="Heading2"/>
      </w:pPr>
      <w:r>
        <w:rPr>
          <w:color w:val="1B4D3E"/>
        </w:rPr>
        <w:t>3.21 · Experiencias previas de trabajo con comunidades del territorio (máx. 350 palabras)</w:t>
      </w:r>
    </w:p>
    <w:p>
      <w:pPr>
        <w:spacing w:after="120"/>
      </w:pPr>
      <w:r>
        <w:t>Acción Ecologista Ekuwün desarrolla en Temuco un trabajo de ecoeducación, vinculación comunitaria y defensa del territorio, mediante talleres, actividades abiertas, exploraciones en terreno y generación de información socioambiental. Una experiencia especialmente vinculada a este proyecto fue la exploración ciudadana de briófitos realizada en el Cerro Ñielol durante abril y mayo de 2026, junto a un especialista invitado. La actividad convocó a personas de la comunidad sin formación previa en la materia, quienes participaron directamente en la observación y registro de organismos. La alta convocatoria y necesidad de ampliar los cupos evidenciaron el interés de la comunidad por participar en experiencias de conocimiento de la biodiversidad local. En abril de 2026, Ekuwün también participó junto a una organización ciclista de Temuco en una Medición de Eficiencia en Modos de Transporte, levantando datos en terreno y compartiendo sus resultados. Esta experiencia fortaleció una forma de trabajo basada en la participación ciudadana, la generación de evidencia local y su devolución a la comunidad. En el ámbito del arbolado, Ekuwün participó en febrero de 2026 en un catastro ciudadano de árboles urbanos en Avenida Caupolicán, desarrollado junto a organizaciones socioambientales de Temuco, registrando variables como especie, ubicación, diámetro y altura. Finalmente, existe un vínculo previo con las escuelas Los Trigales, Campos Deportivos y Hablaarte, con las cuales Ekuwün ha desarrollado actividades de educación ambiental. Ese trabajo previo es lo que permite desarrollar esta experiencia desde relaciones territoriales ya construidas y no desde una convocatoria externa a comunidades desconocidas.</w:t>
      </w:r>
    </w:p>
    <w:p>
      <w:pPr>
        <w:spacing w:before="40" w:after="120"/>
        <w:pBdr>
          <w:bottom w:val="single" w:sz="6" w:color="BBBBBB"/>
        </w:pBdr>
      </w:pPr>
    </w:p>
    <w:p>
      <w:pPr>
        <w:pStyle w:val="Heading2"/>
      </w:pPr>
      <w:r>
        <w:rPr>
          <w:color w:val="1B4D3E"/>
        </w:rPr>
        <w:t>4.1 · Cómo trabajarán las diversas disciplinas (máx. 350 palabras)</w:t>
      </w:r>
    </w:p>
    <w:p>
      <w:pPr>
        <w:spacing w:after="120"/>
      </w:pPr>
      <w:r>
        <w:t>Las distintas disciplinas se integrarán durante todo el proyecto y no como actividades separadas. La idea es que cada mirada aporte a comprender el arbolado urbano de Temuco y, al mismo tiempo, permita que niñas, niños y comunidades puedan participar en la generación de ese conocimiento. Desde las ciencias naturales y la ecología se definirá qué información necesitamos observar y registrar en cada árbol: especie o morfoespecie, tamaño, estado sanitario, características de su entorno y organismos asociados. Este trabajo contará con el apoyo de un especialista, quien también orientará la identificación de especies y la interpretación de los datos. La información levantada en terreno será contrastada con herramientas de análisis territorial e imágenes satelitales, que permitirán observar la cobertura vegetal, identificar diferencias entre sectores y relacionar las características de los árboles con su entorno. La educación será fundamental para adaptar este conocimiento a las escuelas y convertir la investigación en una experiencia de aprendizaje. El protocolo de terreno será diseñado para que pueda ser utilizado por estudiantes de distintas edades, incluyendo niñas y niños de una escuela de lenguaje, privilegiando formas simples, claras y comparables de observar y registrar. Así, la participación de los estudiantes no será solo educativa: sus observaciones serán parte del levantamiento de información del proyecto. El arte se incorporará como otra forma de observar y conocer. A través del dibujo de árboles, hojas y otros organismos presentes en ellos, se desarrollará un herbario ilustrado que permitirá registrar la biodiversidad desde una mirada sensible y cercana. Dibujar también será una forma de detenerse y mirar aquello que muchas veces pasa desapercibido en la ciudad. Finalmente, la dimensión comunitaria permitirá poner estos conocimientos en diálogo con quienes habitan los barrios. Los resultados se transformarán en mapas, registros y materiales que puedan ser comprendidos y utilizados por las comunidades, contribuyendo no solo a conocer el arbolado de Temuco, sino también a reconocer su valor y fortalecer su cuidado.</w:t>
      </w:r>
    </w:p>
    <w:p>
      <w:pPr>
        <w:spacing w:before="40" w:after="120"/>
        <w:pBdr>
          <w:bottom w:val="single" w:sz="6" w:color="BBBBBB"/>
        </w:pBdr>
      </w:pPr>
    </w:p>
    <w:p>
      <w:pPr>
        <w:pStyle w:val="Heading2"/>
      </w:pPr>
      <w:r>
        <w:rPr>
          <w:color w:val="1B4D3E"/>
        </w:rPr>
        <w:t>4.2 · Conocimientos y acciones relacionadas al cuidado de la naturaleza (máx. 350 palabras)</w:t>
      </w:r>
    </w:p>
    <w:p>
      <w:pPr>
        <w:spacing w:after="120"/>
      </w:pPr>
      <w:r>
        <w:t>El proyecto busca que niñas, niños y comunidades comprendan el arbolado urbano como parte de la naturaleza que habita la ciudad, y no solo como un elemento del paisaje. Para ello, se trabajarán conocimientos científicos, territoriales y culturales que permitan observar, valorar y cuidar los árboles de Temuco. Un primer aprendizaje será reconocer que un árbol sostiene mucha más vida de la que vemos a simple vista. En el terreno se observarán líquenes, hongos, insectos, aves y otras formas de vida asociadas a los árboles. Cuando no sea posible identificar un organismo a nivel de especie, se podrá registrar como morfoespecie, aprendiendo que también es posible generar conocimiento sin tener siempre una identificación taxonómica completa. También se aprenderá a observar y medir. Las y los estudiantes registrarán características como el tamaño del árbol, su copa, estado sanitario y ubicación, comprendiendo la diferencia entre una apreciación personal y un dato que puede ser comprobado y comparado en el tiempo. A partir de esto, conocerán también cómo se pueden estimar servicios ecosistémicos como la sombra, la regulación de temperatura o el almacenamiento de carbono, comprendiendo que toda estimación tiene métodos y márgenes de incertidumbre. El proyecto incorporará además conocimientos locales y culturales: los nombres de los árboles, sus usos, historias y significados para las comunidades, incluyendo el mapuzugun cuando corresponda. El herbario ilustrado permitirá complementar el registro científico con una forma artística y sensible de aproximarse a la biodiversidad. Estos conocimientos se traducirán en acciones concretas. Las comunidades escolares participarán en un catastro ciudadano de árboles, registrándolos, fotografiándolos y georreferenciándolos. Los ejemplares de especial valor podrán contar con antecedentes para impulsar su reconocimiento como árboles patrimoniales y aportar a su protección. Finalmente, la información recopilada será organizada en mapas y registros que puedan ser compartidos con las comunidades y entregados como insumo para la gestión municipal. De esta manera, el proyecto busca que conocer el arbolado sea también una forma de involucrarse en su cuidado y defensa.</w:t>
      </w:r>
    </w:p>
    <w:p>
      <w:pPr>
        <w:spacing w:before="40" w:after="120"/>
        <w:pBdr>
          <w:bottom w:val="single" w:sz="6" w:color="BBBBBB"/>
        </w:pBdr>
      </w:pPr>
    </w:p>
    <w:p>
      <w:pPr>
        <w:pStyle w:val="Heading2"/>
      </w:pPr>
      <w:r>
        <w:rPr>
          <w:color w:val="1B4D3E"/>
        </w:rPr>
        <w:t>4.3 · Cómo se incorporarán conocimientos de las comunidades (máx. 350 palabras)</w:t>
      </w:r>
    </w:p>
    <w:p>
      <w:pPr>
        <w:spacing w:after="120"/>
      </w:pPr>
      <w:r>
        <w:t>Queremos que el conocimiento de las comunidades tenga un lugar real dentro del proyecto. Lo que nos cuenten sobre los árboles, sus nombres, usos, historias o significados, no quedará como información complementaria, sino que podrá influir en lo que registramos, en cómo interpretamos los resultados y en qué árboles o lugares ponemos en valor.. como primer paso, será el diseño de los materiales. Tenemos una propuesta inicial para facilitar la participación de estudiantes de la Escuela de Lenguaje Hablaarte: apoyos visuales, instrucciones breves, demostraciones prácticas y distintas formas de registrar una misma observación, como señalar, elegir entre imágenes, clasificar, dibujar o fotografiar. Sin embargo, no queremos asumir desde fuera cuál es la mejor forma de comunicación para sus estudiantes. Por eso, esta metodología será co-diseñada, piloteada y ajustada con las fonoaudiólogas, educadoras y equipo de apoyo de la escuela antes del levantamiento de datos. El objetivo científico y las variables a observar se mantendrán, pero la forma de acceder a ellas y registrarlas podrá adaptarse a las características de los niños y niñas. También serán los equipos docentes quienes definirán cómo integrar el trabajo del Observatorio a sus procesos educativos, de acuerdo con su planificación y las características de cada escuela. Buscamos que las herramientas puedan seguir utilizándose una vez finalizado el proyecto. El conocimiento local también quedará incorporado en el registro de los árboles. La ficha considerará sus nombres, usos, historias y otros significados, incluyendo denominaciones en mapuzugun y en las lenguas presentes en las comunidades escolares. Esta información formará parte del registro del Observatorio y no quedará como un antecedente separado de los datos científicos. En las devoluciones territoriales, las comunidades podrán identificar árboles que consideran especialmente significativos y aportar antecedentes sobre su historia, características y valor para el barrio. Cuando corresponda, esta información podrá contribuir a la elaboración de antecedentes para una eventual solicitud ciudadana de incorporación de un árbol al Registro de Árboles Patrimoniales, de acuerdo con el procedimiento establecido en el artículo 9° de la Ordenanza Municipal N.º 04/2021.</w:t>
      </w:r>
    </w:p>
    <w:p>
      <w:pPr>
        <w:spacing w:before="40" w:after="120"/>
        <w:pBdr>
          <w:bottom w:val="single" w:sz="6" w:color="BBBBBB"/>
        </w:pBdr>
      </w:pPr>
    </w:p>
    <w:p>
      <w:pPr>
        <w:pStyle w:val="Heading2"/>
      </w:pPr>
      <w:r>
        <w:rPr>
          <w:color w:val="1B4D3E"/>
        </w:rPr>
        <w:t>4.4 · Cómo se compartirá el conocimiento con el territorio (máx. 350 palabras)</w:t>
      </w:r>
    </w:p>
    <w:p>
      <w:pPr>
        <w:spacing w:after="120"/>
      </w:pPr>
      <w:r>
        <w:t>El conocimiento generado se compartirá principalmente en los mismos territorios donde se realice el trabajo, procurando que los resultados sean comprensibles y útiles para las comunidades que participaron en su construcción. Al finalizar el proceso de levantamiento y análisis, se realizarán instancias de devolución en cada uno de los sectores participantes, abiertas a estudiantes, familias, juntas de vecinos y organizaciones locales. En ellas se presentarán los principales resultados sobre el arbolado y la biodiversidad observada en el sector, procurando que sean los propios estudiantes quienes puedan compartir parte de lo aprendido y mostrar los registros realizados durante el proyecto. Cada comunidad recibirá también materiales que permitan conservar y consultar esta información. Se elaborarán mapas y materiales visuales con los principales resultados del sector, además de fichas de aquellos árboles que destaquen por sus características ecológicas, culturales o por su valor para la comunidad. Estos materiales quedarán disponibles en las escuelas y se compartirán con las organizaciones territoriales participantes. El conocimiento generado también quedará disponible en el Observatorio Ciudadano del Arbolado Urbano de Temuco, de manera que pueda ser consultado posteriormente por comunidades, organizaciones, establecimientos educacionales y otras personas interesadas. Se procurará que los registros validados puedan, cuando corresponda, aportar también a iniciativas abiertas de conocimiento sobre biodiversidad. Junto con los resultados, se compartirán las herramientas utilizadas para producirlos: protocolos, fichas de observación y materiales educativos. Estos quedarán en las escuelas participantes para que puedan continuar utilizándose y adaptándose después del proyecto. Finalmente los resultados que puedan ser útiles para la gestión del arbolado serán puestos a disposición del municipio. En aquellos casos en que el catastro identifique árboles de especial valor, la información podrá contribuir a generar antecedentes para eventuales acciones de reconocimiento y protección patrimonial, de acuerdo con la normativa municipal vigente.</w:t>
      </w:r>
    </w:p>
    <w:p>
      <w:pPr>
        <w:spacing w:before="40" w:after="120"/>
        <w:pBdr>
          <w:bottom w:val="single" w:sz="6" w:color="BBBBBB"/>
        </w:pBdr>
      </w:pPr>
    </w:p>
    <w:p>
      <w:pPr>
        <w:pStyle w:val="Heading2"/>
      </w:pPr>
      <w:r>
        <w:rPr>
          <w:color w:val="1B4D3E"/>
        </w:rPr>
        <w:t>4.5 · Proyección a largo plazo (máx. 350 palabras)</w:t>
      </w:r>
    </w:p>
    <w:p>
      <w:pPr>
        <w:spacing w:after="120"/>
      </w:pPr>
      <w:r>
        <w:t>Sí. La proyección del proyecto está pensada desde su diseño, porque el conocimiento sobre el arbolado adquiere mayor valor cuando puede ser observado y comparado a lo largo del tiempo. El proyecto generará una primera línea base del arbolado y de la biodiversidad asociada en los sectores participantes. Los árboles registrados quedarán georreferenciados, fotografiados y asociados a información que permita volver a encontrarlos y repetir algunas de las mediciones. Esto permitirá que, en el futuro, las escuelas y organizaciones puedan realizar nuevas observaciones y comparar los cambios ocurridos. Para favorecer esta continuidad, no queremos que el Observatorio dependa permanentemente de nuestro equipo. Durante el proyecto se trabajará con docentes y comunidades para que conozcan el protocolo, utilicen las fichas y puedan realizar nuevas actividades de observación una vez terminado el financiamiento. Los materiales y herramientas quedarán disponibles en las escuelas participantes y podrán ser adaptados para nuevos cursos y actividades. También buscamos que el Observatorio pueda crecer progresivamente hacia otros establecimientos y barrios de Temuco. La experiencia desarrollada durante esta primera etapa permitirá evaluar qué instrumentos funcionan, qué variables son viables de mantener en el tiempo y qué ajustes son necesarios antes de ampliar el trabajo. La información generada podrá tener además una utilidad futura para las propias comunidades: reconocer cambios en la cobertura arbórea, identificar árboles de especial valor, observar transformaciones en la biodiversidad asociada y aportar antecedentes para iniciativas de protección y gestión del arbolado. Por eso, la proyección no consiste solamente en mantener una plataforma o continuar una actividad después del proyecto. Buscamos dejar capacidades, herramientas y una primera base de conocimiento que permitan que otras personas puedan continuar observando, aprendiendo y tomando decisiones sobre el arbolado de sus propios territorios. La primera etapa será, en ese sentido, el punto de partida de un proceso de monitoreo y aprendizaje que pueda continuar más allá del período de financiamiento.</w:t>
      </w:r>
    </w:p>
    <w:p>
      <w:pPr>
        <w:spacing w:before="40" w:after="120"/>
        <w:pBdr>
          <w:bottom w:val="single" w:sz="6" w:color="BBBBBB"/>
        </w:pBdr>
      </w:pPr>
    </w:p>
    <w:p>
      <w:pPr>
        <w:pStyle w:val="Heading2"/>
      </w:pPr>
      <w:r>
        <w:rPr>
          <w:color w:val="1B4D3E"/>
        </w:rPr>
        <w:t>5.1 · Vínculo con prácticas artísticas y/o culturales (máx. 350 palabras)</w:t>
      </w:r>
    </w:p>
    <w:p>
      <w:pPr>
        <w:spacing w:after="120"/>
      </w:pPr>
      <w:r>
        <w:t>Sí. El proyecto incorpora prácticas artísticas y culturales como parte del proceso de observación y conocimiento del arbolado, y no solo como una actividad final de difusión. Una de las principales acciones será un taller de ilustración y educación ambiental desarrollado por Acción Ecologista Ekuwün en las escuelas participantes. Las y los estudiantes realizarán dibujos de observación a partir de los árboles y su entorno, utilizando también elementos naturales disponibles, como hojas, semillas, frutos, pequeñas ramas, cortezas desprendidas u otros materiales que se encuentren en el suelo sin necesidad de extraerlos del árbol. También se podrán utilizar materiales sencillos disponibles en las propias escuelas. La intención no será evaluar la calidad artística, sino utilizar el dibujo y la exploración de estos elementos como formas de observar con mayor atención, reconocer características y comunicar aquello que cada estudiante descubre. Las producciones podrán formar un herbario ilustrado en cada escuela y complementar los registros científicos del Observatorio. En la Escuela de Lenguaje Hablaarte, el uso de recursos visuales tendrá además especial relevancia. El dibujo y la manipulación de elementos concretos pueden ofrecer vías de expresión y registro que no dependan exclusivamente de la lectura, escritura o comunicación oral. La forma concreta de desarrollar estas actividades será co-diseñada con las profesionales de la escuela, considerando las características de sus estudiantes. El componente cultural estará presente también en la forma de nombrar y comprender los árboles. Se recogerán nombres locales, conocimientos en mapuzugun, usos, historias, recuerdos y otros significados que las familias y comunidades asocien a determinados árboles. Así, el arte y los conocimientos culturales no estarán separados del trabajo científico: el dibujo y la exploración permiten registrar y comunicar observaciones, mientras que las distintas formas de nombrar, recordar y valorar los árboles amplían la manera en que el proyecto comprende su importancia para las comunidades.</w:t>
      </w:r>
    </w:p>
    <w:p>
      <w:pPr>
        <w:spacing w:before="40" w:after="120"/>
        <w:pBdr>
          <w:bottom w:val="single" w:sz="6" w:color="BBBBBB"/>
        </w:pBdr>
      </w:pPr>
    </w:p>
    <w:p>
      <w:pPr>
        <w:pStyle w:val="Heading2"/>
      </w:pPr>
      <w:r>
        <w:rPr>
          <w:color w:val="1B4D3E"/>
        </w:rPr>
        <w:t>5.2 · Saberes territoriales y/o ancestrales (máx. 350 palabras)</w:t>
      </w:r>
    </w:p>
    <w:p>
      <w:pPr>
        <w:spacing w:after="120"/>
      </w:pPr>
      <w:r>
        <w:t>El proyecto considera los saberes territoriales como una forma de conocimiento que complementa la información científica sobre los árboles y permite comprender su relación con las comunidades. No buscamos reemplazar estos conocimientos por categorías técnicas, sino ponerlos en diálogo con las observaciones realizadas en terreno. En la Escuela Los Trigales existe una experiencia concreta que permite incorporar esta dimensión: el mapuzugun forma parte de su proceso educativo y los estudiantes tienen contacto con esta lengua desde los primeros niveles. A partir de ello, el proyecto incorporará en las fichas el nombre de los árboles en castellano, mapuzugun y, cuando corresponda, en las lenguas presentes en las familias. De esta manera, los nombres no serán solo una traducción, sino una oportunidad para reconocer que distintas lenguas expresan diferentes formas de relacionarse y nombrar la naturaleza. También se recogerán conocimientos de estudiantes, familias, docentes y vecinos sobre los árboles del territorio: sus nombres locales, usos, historias, cambios que han observado, épocas de floración o fructificación, lugares donde antiguamente existían determinados árboles y otros recuerdos o conocimientos vinculados a ellos. Estos aportes podrán complementar la caracterización ecológica y ayudar a identificar árboles que tienen un significado particular para una comunidad. La incorporación de estos conocimientos se realizará respetando su origen y contexto. No pretendemos atribuir carácter ancestral a cualquier conocimiento local ni hablar en representación de comunidades con las que no existe un vínculo previo. Cuando aparezcan conocimientos culturales específicos, especialmente aquellos vinculados al pueblo mapuche, se procurará trabajarlos con las personas y comunidades que correspondan, respetando sus formas de participación y reconocimiento. Así, el proyecto busca que un árbol pueda ser comprendido simultáneamente como organismo, como parte de un ecosistema y como elemento que tiene nombres, historias, usos y significados para quienes habitan el territorio. Ese encuentro entre distintas formas de conocimiento será parte del aprendizaje que el Observatorio quiere generar.</w:t>
      </w:r>
    </w:p>
    <w:p>
      <w:pPr>
        <w:spacing w:before="40" w:after="120"/>
        <w:pBdr>
          <w:bottom w:val="single" w:sz="6" w:color="BBBBBB"/>
        </w:pBdr>
      </w:pPr>
    </w:p>
    <w:p>
      <w:pPr>
        <w:pStyle w:val="Heading2"/>
      </w:pPr>
      <w:r>
        <w:rPr>
          <w:color w:val="1B4D3E"/>
        </w:rPr>
        <w:t>5.3 · Capacidades que busca promover a nivel territorial (máx. 350 palabras)</w:t>
      </w:r>
    </w:p>
    <w:p>
      <w:pPr>
        <w:spacing w:after="120"/>
      </w:pPr>
      <w:r>
        <w:t>El proyecto busca desarrollar capacidades concretas que puedan permanecer en las comunidades una vez terminado el financiamiento. No se trata solo de aumentar la valoración de los árboles, sino de entregar herramientas para observar, registrar, interpretar y utilizar información sobre el propio territorio. En estudiantes, se busca fortalecer capacidades de observación y registro científico: medir algunas características de un árbol, reconocer y registrar organismos asociados aunque no conozcan su nombre, diferenciar una medición de una estimación y comprender de dónde proviene la información que se utiliza para interpretar un fenómeno. Estas capacidades se desarrollarán mediante actividades prácticas y adecuadas a las características de cada escuela. En docentes, una capacidad central será poder utilizar y adaptar el protocolo de observación sin depender permanentemente del equipo externo. Para ello, los instrumentos se trabajarán durante el proyecto y se probarán en las escuelas antes de su cierre. Los materiales, fichas y protocolos quedarán disponibles para continuar utilizándolos con nuevos cursos. En las comunidades territoriales se busca fortalecer la capacidad de reconocer el valor ecológico, cultural y social del arbolado del barrio, interpretar mapas y resultados sencillos y contar con antecedentes para participar en conversaciones y decisiones relacionadas con su protección y gestión. Cuando corresponda, el proyecto podrá orientar a las comunidades sobre las vías existentes para impulsar acciones de reconocimiento de árboles de especial valor. La experiencia de Ekuwün también se fortalecerá: el proyecto permitirá probar una metodología de ciencia ciudadana y educación ambiental en tres contextos escolares distintos, identificar qué herramientas funcionan y cuáles necesitan adaptación. Ese aprendizaje quedará sistematizado en materiales que puedan utilizarse posteriormente en otros establecimientos y organizaciones. La replicabilidad se plantea como un proceso de aprendizaje, no como una fórmula cerrada. Las diferencias entre las escuelas permitirán identificar qué elementos del método pueden mantenerse y cuáles deben adaptarse a cada comunidad. De esta manera, el proyecto busca dejar capacidades y herramientas que puedan seguir creciendo desde los propios territorios.</w:t>
      </w:r>
    </w:p>
    <w:p>
      <w:pPr>
        <w:spacing w:before="40" w:after="120"/>
        <w:pBdr>
          <w:bottom w:val="single" w:sz="6" w:color="BBBBBB"/>
        </w:pBdr>
      </w:pPr>
    </w:p>
    <w:p>
      <w:pPr>
        <w:pStyle w:val="Heading2"/>
      </w:pPr>
      <w:r>
        <w:rPr>
          <w:color w:val="1B4D3E"/>
        </w:rPr>
        <w:t>5.4 · Inclusión con grupos diversos, disidencias y personas con discapacidad (máx. 350 palabras)</w:t>
      </w:r>
    </w:p>
    <w:p>
      <w:pPr>
        <w:spacing w:after="120"/>
      </w:pPr>
      <w:r>
        <w:t>Sí. La inclusión será considerada desde el diseño de las actividades y no solamente como participación en ellas. Buscamos que las diferencias de edad, formas de aprendizaje, comunicación, capacidades y experiencias no sean una barrera para participar en la generación de conocimiento. En el trabajo de terreno, las actividades podrán distribuirse entre distintas funciones: observar, medir, fotografiar, clasificar, registrar o comunicar los hallazgos. De esta manera, participar en el levantamiento de información no dependerá de una única habilidad. Las tareas se organizarán de acuerdo con las características de cada grupo y podrán realizarse individualmente o en parejas, con los apoyos necesarios. En la Escuela de Lenguaje Hablaarte esta dimensión será especialmente relevante. No llegaremos con una metodología cerrada para estudiantes con dificultades del lenguaje. Contamos con una propuesta inicial basada en apoyos visuales, demostraciones prácticas y distintas formas de registrar una misma observación, pero su aplicación será co-diseñada y piloteada con fonoaudiólogas, educadoras y personal de apoyo de la escuela. Así podremos identificar qué formas de comunicación y registro resultan más adecuadas para sus estudiantes, manteniendo el mismo objetivo científico. Del mismo modo, antes de implementar las actividades se identificarán, junto con cada establecimiento, las necesidades de accesibilidad y participación de sus estudiantes. Esto permitirá definir las adaptaciones que realmente sean necesarias, ya sean de comunicación, materiales, desplazamiento, tiempos o formas de realizar las actividades, en lugar de incorporar soluciones que no respondan a las necesidades reales de los grupos. También consideraremos las barreras sociales y familiares que pueden dificultar la participación. Los horarios y condiciones de las actividades se acordarán con cada establecimiento, considerando sus distintas realidades. Respecto de la diversidad cultural, familiar y sexo-genérica, el proyecto promoverá espacios de participación respetuosos, evitando asumir que todas las personas tienen las mismas experiencias o formas de relacionarse con el territorio. Los nombres, historias, lenguas y conocimientos aportados por las familias podrán incorporarse cuando ellas quieran compartirlos. La inclusión, en este sentido, no significa que todas las personas deban participar de la misma manera, sino que existan distintas formas legítimas de aportar al conocimiento colectivo.</w:t>
      </w:r>
    </w:p>
    <w:p>
      <w:pPr>
        <w:spacing w:before="40" w:after="120"/>
        <w:pBdr>
          <w:bottom w:val="single" w:sz="6" w:color="BBBBBB"/>
        </w:pBdr>
      </w:pPr>
    </w:p>
    <w:p>
      <w:pPr>
        <w:pStyle w:val="Heading1"/>
      </w:pPr>
      <w:r>
        <w:rPr>
          <w:color w:val="1B4D3E"/>
        </w:rPr>
        <w:t>Anexo · Erratas y desajustes detectados después del envío</w:t>
      </w:r>
    </w:p>
    <w:p>
      <w:pPr>
        <w:spacing w:after="120"/>
      </w:pPr>
      <w:r>
        <w:rPr>
          <w:b/>
        </w:rPr>
        <w:t>Ninguno de estos se puede corregir.</w:t>
      </w:r>
      <w:r>
        <w:t xml:space="preserve"> Se anotan porque conviene llegar a la entrevista sabiendo</w:t>
      </w:r>
    </w:p>
    <w:p>
      <w:pPr>
        <w:spacing w:after="120"/>
      </w:pPr>
      <w:r>
        <w:t>que están, no descubriéndolos ahí.</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E8F0E4"/>
          </w:tcPr>
          <w:p>
            <w:r>
              <w:rPr>
                <w:b/>
                <w:sz w:val="19"/>
              </w:rPr>
            </w:r>
            <w:r>
              <w:rPr>
                <w:b/>
                <w:sz w:val="19"/>
              </w:rPr>
              <w:t>#</w:t>
            </w:r>
          </w:p>
        </w:tc>
        <w:tc>
          <w:tcPr>
            <w:tcW w:type="dxa" w:w="2160"/>
            <w:shd w:val="clear" w:fill="E8F0E4"/>
          </w:tcPr>
          <w:p>
            <w:r>
              <w:rPr>
                <w:b/>
                <w:sz w:val="19"/>
              </w:rPr>
            </w:r>
            <w:r>
              <w:rPr>
                <w:b/>
                <w:sz w:val="19"/>
              </w:rPr>
              <w:t>Dónde</w:t>
            </w:r>
          </w:p>
        </w:tc>
        <w:tc>
          <w:tcPr>
            <w:tcW w:type="dxa" w:w="2160"/>
            <w:shd w:val="clear" w:fill="E8F0E4"/>
          </w:tcPr>
          <w:p>
            <w:r>
              <w:rPr>
                <w:b/>
                <w:sz w:val="19"/>
              </w:rPr>
            </w:r>
            <w:r>
              <w:rPr>
                <w:b/>
                <w:sz w:val="19"/>
              </w:rPr>
              <w:t>Qué pasó</w:t>
            </w:r>
          </w:p>
        </w:tc>
        <w:tc>
          <w:tcPr>
            <w:tcW w:type="dxa" w:w="2160"/>
            <w:shd w:val="clear" w:fill="E8F0E4"/>
          </w:tcPr>
          <w:p>
            <w:r>
              <w:rPr>
                <w:b/>
                <w:sz w:val="19"/>
              </w:rPr>
            </w:r>
            <w:r>
              <w:rPr>
                <w:b/>
                <w:sz w:val="19"/>
              </w:rPr>
              <w:t>Cuánto importa</w:t>
            </w:r>
          </w:p>
        </w:tc>
      </w:tr>
      <w:tr>
        <w:tc>
          <w:tcPr>
            <w:tcW w:type="dxa" w:w="2160"/>
          </w:tcPr>
          <w:p>
            <w:r>
              <w:rPr>
                <w:sz w:val="19"/>
              </w:rPr>
            </w:r>
            <w:r>
              <w:rPr>
                <w:sz w:val="19"/>
              </w:rPr>
              <w:t>1</w:t>
            </w:r>
          </w:p>
        </w:tc>
        <w:tc>
          <w:tcPr>
            <w:tcW w:type="dxa" w:w="2160"/>
          </w:tcPr>
          <w:p>
            <w:r>
              <w:rPr>
                <w:sz w:val="19"/>
              </w:rPr>
            </w:r>
            <w:r>
              <w:rPr>
                <w:b/>
                <w:sz w:val="19"/>
              </w:rPr>
              <w:t>Título</w:t>
            </w:r>
          </w:p>
        </w:tc>
        <w:tc>
          <w:tcPr>
            <w:tcW w:type="dxa" w:w="2160"/>
          </w:tcPr>
          <w:p>
            <w:r>
              <w:rPr>
                <w:sz w:val="19"/>
              </w:rPr>
            </w:r>
            <w:r>
              <w:rPr>
                <w:sz w:val="19"/>
              </w:rPr>
              <w:t xml:space="preserve">Dice </w:t>
            </w:r>
            <w:r>
              <w:rPr>
                <w:b/>
                <w:sz w:val="19"/>
              </w:rPr>
              <w:t>"monitorio"</w:t>
            </w:r>
            <w:r>
              <w:rPr>
                <w:sz w:val="19"/>
              </w:rPr>
              <w:t xml:space="preserve"> donde debía decir </w:t>
            </w:r>
            <w:r>
              <w:rPr>
                <w:i/>
                <w:sz w:val="19"/>
              </w:rPr>
              <w:t>monitoreo</w:t>
            </w:r>
          </w:p>
        </w:tc>
        <w:tc>
          <w:tcPr>
            <w:tcW w:type="dxa" w:w="2160"/>
          </w:tcPr>
          <w:p>
            <w:r>
              <w:rPr>
                <w:sz w:val="19"/>
              </w:rPr>
            </w:r>
            <w:r>
              <w:rPr>
                <w:sz w:val="19"/>
              </w:rPr>
              <w:t>Errata visible en el campo más leído del formulario. Si alguien la nota, se reconoce y ya</w:t>
            </w:r>
          </w:p>
        </w:tc>
      </w:tr>
      <w:tr>
        <w:tc>
          <w:tcPr>
            <w:tcW w:type="dxa" w:w="2160"/>
          </w:tcPr>
          <w:p>
            <w:r>
              <w:rPr>
                <w:sz w:val="19"/>
              </w:rPr>
            </w:r>
            <w:r>
              <w:rPr>
                <w:sz w:val="19"/>
              </w:rPr>
              <w:t>2</w:t>
            </w:r>
          </w:p>
        </w:tc>
        <w:tc>
          <w:tcPr>
            <w:tcW w:type="dxa" w:w="2160"/>
          </w:tcPr>
          <w:p>
            <w:r>
              <w:rPr>
                <w:sz w:val="19"/>
              </w:rPr>
            </w:r>
            <w:r>
              <w:rPr>
                <w:b/>
                <w:sz w:val="19"/>
              </w:rPr>
              <w:t>Título</w:t>
            </w:r>
          </w:p>
        </w:tc>
        <w:tc>
          <w:tcPr>
            <w:tcW w:type="dxa" w:w="2160"/>
          </w:tcPr>
          <w:p>
            <w:r>
              <w:rPr>
                <w:sz w:val="19"/>
              </w:rPr>
            </w:r>
            <w:r>
              <w:rPr>
                <w:sz w:val="19"/>
              </w:rPr>
              <w:t xml:space="preserve">Quedó </w:t>
            </w:r>
            <w:r>
              <w:rPr>
                <w:b/>
                <w:sz w:val="19"/>
              </w:rPr>
              <w:t>"Construcción del Observatorio…"</w:t>
            </w:r>
            <w:r>
              <w:rPr>
                <w:sz w:val="19"/>
              </w:rPr>
              <w:t xml:space="preserve"> en vez del título acordado </w:t>
            </w:r>
            <w:r>
              <w:rPr>
                <w:i/>
                <w:sz w:val="19"/>
              </w:rPr>
              <w:t>¿Qué árboles sostienen más vida?</w:t>
            </w:r>
          </w:p>
        </w:tc>
        <w:tc>
          <w:tcPr>
            <w:tcW w:type="dxa" w:w="2160"/>
          </w:tcPr>
          <w:p>
            <w:r>
              <w:rPr>
                <w:sz w:val="19"/>
              </w:rPr>
            </w:r>
            <w:r>
              <w:rPr>
                <w:sz w:val="19"/>
              </w:rPr>
              <w:t xml:space="preserve">🔴 </w:t>
            </w:r>
            <w:r>
              <w:rPr>
                <w:b/>
                <w:sz w:val="19"/>
              </w:rPr>
              <w:t>El más de fondo.</w:t>
            </w:r>
            <w:r>
              <w:rPr>
                <w:sz w:val="19"/>
              </w:rPr>
              <w:t xml:space="preserve"> Contradice el criterio de </w:t>
            </w:r>
            <w:r>
              <w:rPr>
                <w:b/>
                <w:sz w:val="19"/>
              </w:rPr>
              <w:t>no presentar el observatorio como el producto</w:t>
            </w:r>
            <w:r>
              <w:rPr>
                <w:sz w:val="19"/>
              </w:rPr>
              <w:t>. El resto de los textos sí trata el observatorio como infraestructura previa, así que hay una tensión interna que conviene tener resuelta antes de la entrevista</w:t>
            </w:r>
          </w:p>
        </w:tc>
      </w:tr>
      <w:tr>
        <w:tc>
          <w:tcPr>
            <w:tcW w:type="dxa" w:w="2160"/>
          </w:tcPr>
          <w:p>
            <w:r>
              <w:rPr>
                <w:sz w:val="19"/>
              </w:rPr>
            </w:r>
            <w:r>
              <w:rPr>
                <w:sz w:val="19"/>
              </w:rPr>
              <w:t>3</w:t>
            </w:r>
          </w:p>
        </w:tc>
        <w:tc>
          <w:tcPr>
            <w:tcW w:type="dxa" w:w="2160"/>
          </w:tcPr>
          <w:p>
            <w:r>
              <w:rPr>
                <w:sz w:val="19"/>
              </w:rPr>
            </w:r>
            <w:r>
              <w:rPr>
                <w:b/>
                <w:sz w:val="19"/>
              </w:rPr>
              <w:t>3.3 objetivo general</w:t>
            </w:r>
          </w:p>
        </w:tc>
        <w:tc>
          <w:tcPr>
            <w:tcW w:type="dxa" w:w="2160"/>
          </w:tcPr>
          <w:p>
            <w:r>
              <w:rPr>
                <w:sz w:val="19"/>
              </w:rPr>
            </w:r>
            <w:r>
              <w:rPr>
                <w:sz w:val="19"/>
              </w:rPr>
              <w:t xml:space="preserve">Dice </w:t>
            </w:r>
            <w:r>
              <w:rPr>
                <w:b/>
                <w:sz w:val="19"/>
              </w:rPr>
              <w:t>"Hablarte"</w:t>
            </w:r>
            <w:r>
              <w:rPr>
                <w:sz w:val="19"/>
              </w:rPr>
              <w:t xml:space="preserve">, sin la segunda </w:t>
            </w:r>
            <w:r>
              <w:rPr>
                <w:i/>
                <w:sz w:val="19"/>
              </w:rPr>
              <w:t>a</w:t>
            </w:r>
          </w:p>
        </w:tc>
        <w:tc>
          <w:tcPr>
            <w:tcW w:type="dxa" w:w="2160"/>
          </w:tcPr>
          <w:p>
            <w:r>
              <w:rPr>
                <w:sz w:val="19"/>
              </w:rPr>
            </w:r>
            <w:r>
              <w:rPr>
                <w:sz w:val="19"/>
              </w:rPr>
              <w:t>Menor. En los otros ocho campos donde aparece está bien escrito</w:t>
            </w:r>
          </w:p>
        </w:tc>
      </w:tr>
      <w:tr>
        <w:tc>
          <w:tcPr>
            <w:tcW w:type="dxa" w:w="2160"/>
          </w:tcPr>
          <w:p>
            <w:r>
              <w:rPr>
                <w:sz w:val="19"/>
              </w:rPr>
            </w:r>
            <w:r>
              <w:rPr>
                <w:sz w:val="19"/>
              </w:rPr>
              <w:t>4</w:t>
            </w:r>
          </w:p>
        </w:tc>
        <w:tc>
          <w:tcPr>
            <w:tcW w:type="dxa" w:w="2160"/>
          </w:tcPr>
          <w:p>
            <w:r>
              <w:rPr>
                <w:sz w:val="19"/>
              </w:rPr>
            </w:r>
            <w:r>
              <w:rPr>
                <w:b/>
                <w:sz w:val="19"/>
              </w:rPr>
              <w:t>4.3</w:t>
            </w:r>
          </w:p>
        </w:tc>
        <w:tc>
          <w:tcPr>
            <w:tcW w:type="dxa" w:w="2160"/>
          </w:tcPr>
          <w:p>
            <w:r>
              <w:rPr>
                <w:sz w:val="19"/>
              </w:rPr>
            </w:r>
            <w:r>
              <w:rPr>
                <w:sz w:val="19"/>
              </w:rPr>
              <w:t xml:space="preserve">Doble punto y frase cortada: </w:t>
            </w:r>
            <w:r>
              <w:rPr>
                <w:i/>
                <w:sz w:val="19"/>
              </w:rPr>
              <w:t>"…ponemos en valor.. como primer paso, será el diseño de los materiales."</w:t>
            </w:r>
          </w:p>
        </w:tc>
        <w:tc>
          <w:tcPr>
            <w:tcW w:type="dxa" w:w="2160"/>
          </w:tcPr>
          <w:p>
            <w:r>
              <w:rPr>
                <w:sz w:val="19"/>
              </w:rPr>
            </w:r>
            <w:r>
              <w:rPr>
                <w:sz w:val="19"/>
              </w:rPr>
              <w:t>Falta el sujeto de la oración. Se lee como error de edición</w:t>
            </w:r>
          </w:p>
        </w:tc>
      </w:tr>
      <w:tr>
        <w:tc>
          <w:tcPr>
            <w:tcW w:type="dxa" w:w="2160"/>
          </w:tcPr>
          <w:p>
            <w:r>
              <w:rPr>
                <w:sz w:val="19"/>
              </w:rPr>
            </w:r>
            <w:r>
              <w:rPr>
                <w:sz w:val="19"/>
              </w:rPr>
              <w:t>5</w:t>
            </w:r>
          </w:p>
        </w:tc>
        <w:tc>
          <w:tcPr>
            <w:tcW w:type="dxa" w:w="2160"/>
          </w:tcPr>
          <w:p>
            <w:r>
              <w:rPr>
                <w:sz w:val="19"/>
              </w:rPr>
            </w:r>
            <w:r>
              <w:rPr>
                <w:b/>
                <w:sz w:val="19"/>
              </w:rPr>
              <w:t>3.6 beneficiarios indirectos</w:t>
            </w:r>
          </w:p>
        </w:tc>
        <w:tc>
          <w:tcPr>
            <w:tcW w:type="dxa" w:w="2160"/>
          </w:tcPr>
          <w:p>
            <w:r>
              <w:rPr>
                <w:sz w:val="19"/>
              </w:rPr>
            </w:r>
            <w:r>
              <w:rPr>
                <w:sz w:val="19"/>
              </w:rPr>
              <w:t xml:space="preserve">Compromete </w:t>
            </w:r>
            <w:r>
              <w:rPr>
                <w:b/>
                <w:sz w:val="19"/>
              </w:rPr>
              <w:t>"al menos una publicación científica (paper)"</w:t>
            </w:r>
          </w:p>
        </w:tc>
        <w:tc>
          <w:tcPr>
            <w:tcW w:type="dxa" w:w="2160"/>
          </w:tcPr>
          <w:p>
            <w:r>
              <w:rPr>
                <w:sz w:val="19"/>
              </w:rPr>
            </w:r>
            <w:r>
              <w:rPr>
                <w:sz w:val="19"/>
              </w:rPr>
              <w:t xml:space="preserve">⚠️ Es un compromiso más duro que el de 3.7, que dice </w:t>
            </w:r>
            <w:r>
              <w:rPr>
                <w:i/>
                <w:sz w:val="19"/>
              </w:rPr>
              <w:t>"se trabajará en al menos un manuscrito"</w:t>
            </w:r>
            <w:r>
              <w:rPr>
                <w:sz w:val="19"/>
              </w:rPr>
              <w:t>. Si preguntan, la respuesta honesta es la de 3.7</w:t>
            </w:r>
          </w:p>
        </w:tc>
      </w:tr>
      <w:tr>
        <w:tc>
          <w:tcPr>
            <w:tcW w:type="dxa" w:w="2160"/>
          </w:tcPr>
          <w:p>
            <w:r>
              <w:rPr>
                <w:sz w:val="19"/>
              </w:rPr>
            </w:r>
            <w:r>
              <w:rPr>
                <w:sz w:val="19"/>
              </w:rPr>
              <w:t>6</w:t>
            </w:r>
          </w:p>
        </w:tc>
        <w:tc>
          <w:tcPr>
            <w:tcW w:type="dxa" w:w="2160"/>
          </w:tcPr>
          <w:p>
            <w:r>
              <w:rPr>
                <w:sz w:val="19"/>
              </w:rPr>
            </w:r>
            <w:r>
              <w:rPr>
                <w:b/>
                <w:sz w:val="19"/>
              </w:rPr>
              <w:t>3.5 beneficiarios directos</w:t>
            </w:r>
          </w:p>
        </w:tc>
        <w:tc>
          <w:tcPr>
            <w:tcW w:type="dxa" w:w="2160"/>
          </w:tcPr>
          <w:p>
            <w:r>
              <w:rPr>
                <w:sz w:val="19"/>
              </w:rPr>
            </w:r>
            <w:r>
              <w:rPr>
                <w:sz w:val="19"/>
              </w:rPr>
              <w:t xml:space="preserve">Dice </w:t>
            </w:r>
            <w:r>
              <w:rPr>
                <w:b/>
                <w:sz w:val="19"/>
              </w:rPr>
              <w:t>150 estudiantes</w:t>
            </w:r>
          </w:p>
        </w:tc>
        <w:tc>
          <w:tcPr>
            <w:tcW w:type="dxa" w:w="2160"/>
          </w:tcPr>
          <w:p>
            <w:r>
              <w:rPr>
                <w:sz w:val="19"/>
              </w:rPr>
            </w:r>
            <w:r>
              <w:rPr>
                <w:sz w:val="19"/>
              </w:rPr>
              <w:t>No contradice los 180 árboles, que es otra unidad. Pero conviene tener claro el cruce por si lo preguntan</w:t>
            </w:r>
          </w:p>
        </w:tc>
      </w:tr>
    </w:tbl>
    <w:p/>
    <w:p>
      <w:pPr>
        <w:pStyle w:val="Heading2"/>
      </w:pPr>
      <w:r>
        <w:rPr>
          <w:color w:val="1B4D3E"/>
        </w:rPr>
        <w:t>Lo que quedó pendiente de la postulación misma</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F0E4"/>
          </w:tcPr>
          <w:p>
            <w:r>
              <w:rPr>
                <w:b/>
                <w:sz w:val="19"/>
              </w:rPr>
            </w:r>
            <w:r>
              <w:rPr>
                <w:b/>
                <w:sz w:val="19"/>
              </w:rPr>
              <w:t>#</w:t>
            </w:r>
          </w:p>
        </w:tc>
        <w:tc>
          <w:tcPr>
            <w:tcW w:type="dxa" w:w="2880"/>
            <w:shd w:val="clear" w:fill="E8F0E4"/>
          </w:tcPr>
          <w:p>
            <w:r>
              <w:rPr>
                <w:b/>
                <w:sz w:val="19"/>
              </w:rPr>
            </w:r>
            <w:r>
              <w:rPr>
                <w:b/>
                <w:sz w:val="19"/>
              </w:rPr>
              <w:t>Pendiente</w:t>
            </w:r>
          </w:p>
        </w:tc>
        <w:tc>
          <w:tcPr>
            <w:tcW w:type="dxa" w:w="2880"/>
            <w:shd w:val="clear" w:fill="E8F0E4"/>
          </w:tcPr>
          <w:p>
            <w:r>
              <w:rPr>
                <w:b/>
                <w:sz w:val="19"/>
              </w:rPr>
            </w:r>
            <w:r>
              <w:rPr>
                <w:b/>
                <w:sz w:val="19"/>
              </w:rPr>
              <w:t>Estado al cierre</w:t>
            </w:r>
          </w:p>
        </w:tc>
      </w:tr>
      <w:tr>
        <w:tc>
          <w:tcPr>
            <w:tcW w:type="dxa" w:w="2880"/>
          </w:tcPr>
          <w:p>
            <w:r>
              <w:rPr>
                <w:sz w:val="19"/>
              </w:rPr>
            </w:r>
            <w:r>
              <w:rPr>
                <w:sz w:val="19"/>
              </w:rPr>
              <w:t>1</w:t>
            </w:r>
          </w:p>
        </w:tc>
        <w:tc>
          <w:tcPr>
            <w:tcW w:type="dxa" w:w="2880"/>
          </w:tcPr>
          <w:p>
            <w:r>
              <w:rPr>
                <w:sz w:val="19"/>
              </w:rPr>
            </w:r>
            <w:r>
              <w:rPr>
                <w:b/>
                <w:sz w:val="19"/>
              </w:rPr>
              <w:t>Coordinación pedagógica: quién</w:t>
            </w:r>
          </w:p>
        </w:tc>
        <w:tc>
          <w:tcPr>
            <w:tcW w:type="dxa" w:w="2880"/>
          </w:tcPr>
          <w:p>
            <w:r>
              <w:rPr>
                <w:sz w:val="19"/>
              </w:rPr>
            </w:r>
            <w:r>
              <w:rPr>
                <w:sz w:val="19"/>
              </w:rPr>
              <w:t>Sigue vacante. Es rol financiado en el presupuesto</w:t>
            </w:r>
          </w:p>
        </w:tc>
      </w:tr>
      <w:tr>
        <w:tc>
          <w:tcPr>
            <w:tcW w:type="dxa" w:w="2880"/>
          </w:tcPr>
          <w:p>
            <w:r>
              <w:rPr>
                <w:sz w:val="19"/>
              </w:rPr>
            </w:r>
            <w:r>
              <w:rPr>
                <w:sz w:val="19"/>
              </w:rPr>
              <w:t>2</w:t>
            </w:r>
          </w:p>
        </w:tc>
        <w:tc>
          <w:tcPr>
            <w:tcW w:type="dxa" w:w="2880"/>
          </w:tcPr>
          <w:p>
            <w:r>
              <w:rPr>
                <w:sz w:val="19"/>
              </w:rPr>
            </w:r>
            <w:r>
              <w:rPr>
                <w:b/>
                <w:sz w:val="19"/>
              </w:rPr>
              <w:t>Confirmación de Paula</w:t>
            </w:r>
            <w:r>
              <w:rPr>
                <w:sz w:val="19"/>
              </w:rPr>
              <w:t xml:space="preserve"> (disponibilidad dic-ago, inventarios dendrométricos, experiencia con estudiantes)</w:t>
            </w:r>
          </w:p>
        </w:tc>
        <w:tc>
          <w:tcPr>
            <w:tcW w:type="dxa" w:w="2880"/>
          </w:tcPr>
          <w:p>
            <w:r>
              <w:rPr>
                <w:sz w:val="19"/>
              </w:rPr>
            </w:r>
            <w:r>
              <w:rPr>
                <w:sz w:val="19"/>
              </w:rPr>
              <w:t>Sin confirmar</w:t>
            </w:r>
          </w:p>
        </w:tc>
      </w:tr>
      <w:tr>
        <w:tc>
          <w:tcPr>
            <w:tcW w:type="dxa" w:w="2880"/>
          </w:tcPr>
          <w:p>
            <w:r>
              <w:rPr>
                <w:sz w:val="19"/>
              </w:rPr>
            </w:r>
            <w:r>
              <w:rPr>
                <w:sz w:val="19"/>
              </w:rPr>
              <w:t>3</w:t>
            </w:r>
          </w:p>
        </w:tc>
        <w:tc>
          <w:tcPr>
            <w:tcW w:type="dxa" w:w="2880"/>
          </w:tcPr>
          <w:p>
            <w:r>
              <w:rPr>
                <w:sz w:val="19"/>
              </w:rPr>
            </w:r>
            <w:r>
              <w:rPr>
                <w:b/>
                <w:sz w:val="19"/>
              </w:rPr>
              <w:t>¿Hablaarte es solo parvularia o también básica?</w:t>
            </w:r>
          </w:p>
        </w:tc>
        <w:tc>
          <w:tcPr>
            <w:tcW w:type="dxa" w:w="2880"/>
          </w:tcPr>
          <w:p>
            <w:r>
              <w:rPr>
                <w:sz w:val="19"/>
              </w:rPr>
            </w:r>
            <w:r>
              <w:rPr>
                <w:sz w:val="19"/>
              </w:rPr>
              <w:t xml:space="preserve">🔴 Sin resolver. Define si producen datos dendrométricos. Ver supuesto 5.bis de </w:t>
            </w:r>
            <w:r>
              <w:rPr>
                <w:rFonts w:ascii="Consolas" w:hAnsi="Consolas"/>
                <w:sz w:val="19"/>
              </w:rPr>
              <w:t>FMA_2026_ACTIVIDADES.md</w:t>
            </w:r>
          </w:p>
        </w:tc>
      </w:tr>
      <w:tr>
        <w:tc>
          <w:tcPr>
            <w:tcW w:type="dxa" w:w="2880"/>
          </w:tcPr>
          <w:p>
            <w:r>
              <w:rPr>
                <w:sz w:val="19"/>
              </w:rPr>
            </w:r>
            <w:r>
              <w:rPr>
                <w:sz w:val="19"/>
              </w:rPr>
              <w:t>4</w:t>
            </w:r>
          </w:p>
        </w:tc>
        <w:tc>
          <w:tcPr>
            <w:tcW w:type="dxa" w:w="2880"/>
          </w:tcPr>
          <w:p>
            <w:r>
              <w:rPr>
                <w:sz w:val="19"/>
              </w:rPr>
            </w:r>
            <w:r>
              <w:rPr>
                <w:sz w:val="19"/>
              </w:rPr>
              <w:t>Dos imágenes de la plana 5 del PDF (afiche del catastro y tabla del SERVIU)</w:t>
            </w:r>
          </w:p>
        </w:tc>
        <w:tc>
          <w:tcPr>
            <w:tcW w:type="dxa" w:w="2880"/>
          </w:tcPr>
          <w:p>
            <w:r>
              <w:rPr>
                <w:sz w:val="19"/>
              </w:rPr>
            </w:r>
            <w:r>
              <w:rPr>
                <w:sz w:val="19"/>
              </w:rPr>
              <w:t>Enviado sin ellas</w:t>
            </w:r>
          </w:p>
        </w:tc>
      </w:tr>
    </w:tbl>
    <w:p/>
    <w:p>
      <w:pPr>
        <w:pStyle w:val="Heading2"/>
      </w:pPr>
      <w:r>
        <w:rPr>
          <w:color w:val="1B4D3E"/>
        </w:rPr>
        <w:t>Fechas que vienen</w:t>
      </w:r>
    </w:p>
    <w:tbl>
      <w:tblPr>
        <w:tblStyle w:val="TableGrid"/>
        <w:tblW w:type="auto" w:w="0"/>
        <w:jc w:val="center"/>
        <w:tblLook w:firstColumn="1" w:firstRow="1" w:lastColumn="0" w:lastRow="0" w:noHBand="0" w:noVBand="1" w:val="04A0"/>
      </w:tblPr>
      <w:tblGrid>
        <w:gridCol w:w="4320"/>
        <w:gridCol w:w="4320"/>
      </w:tblGrid>
      <w:tr>
        <w:tc>
          <w:tcPr>
            <w:tcW w:type="dxa" w:w="4320"/>
            <w:shd w:val="clear" w:fill="E8F0E4"/>
          </w:tcPr>
          <w:p>
            <w:r>
              <w:rPr>
                <w:b/>
                <w:sz w:val="19"/>
              </w:rPr>
            </w:r>
            <w:r>
              <w:rPr>
                <w:b/>
                <w:sz w:val="19"/>
              </w:rPr>
              <w:t>Fecha</w:t>
            </w:r>
          </w:p>
        </w:tc>
        <w:tc>
          <w:tcPr>
            <w:tcW w:type="dxa" w:w="4320"/>
            <w:shd w:val="clear" w:fill="E8F0E4"/>
          </w:tcPr>
          <w:p>
            <w:r>
              <w:rPr>
                <w:b/>
                <w:sz w:val="19"/>
              </w:rPr>
            </w:r>
            <w:r>
              <w:rPr>
                <w:b/>
                <w:sz w:val="19"/>
              </w:rPr>
              <w:t>Qué</w:t>
            </w:r>
          </w:p>
        </w:tc>
      </w:tr>
      <w:tr>
        <w:tc>
          <w:tcPr>
            <w:tcW w:type="dxa" w:w="4320"/>
          </w:tcPr>
          <w:p>
            <w:r>
              <w:rPr>
                <w:sz w:val="19"/>
              </w:rPr>
            </w:r>
            <w:r>
              <w:rPr>
                <w:sz w:val="19"/>
              </w:rPr>
              <w:t>21 de septiembre al 2 de octubre de 2026</w:t>
            </w:r>
          </w:p>
        </w:tc>
        <w:tc>
          <w:tcPr>
            <w:tcW w:type="dxa" w:w="4320"/>
          </w:tcPr>
          <w:p>
            <w:r>
              <w:rPr>
                <w:sz w:val="19"/>
              </w:rPr>
            </w:r>
            <w:r>
              <w:rPr>
                <w:sz w:val="19"/>
              </w:rPr>
              <w:t xml:space="preserve">Entrevista de preselección, si hay. </w:t>
            </w:r>
            <w:r>
              <w:rPr>
                <w:b/>
                <w:sz w:val="19"/>
              </w:rPr>
              <w:t>Máximo 10 diapositivas, exposición de hasta 10 minutos</w:t>
            </w:r>
          </w:p>
        </w:tc>
      </w:tr>
      <w:tr>
        <w:tc>
          <w:tcPr>
            <w:tcW w:type="dxa" w:w="4320"/>
          </w:tcPr>
          <w:p>
            <w:r>
              <w:rPr>
                <w:sz w:val="19"/>
              </w:rPr>
            </w:r>
            <w:r>
              <w:rPr>
                <w:sz w:val="19"/>
              </w:rPr>
              <w:t>5 de octubre de 2026</w:t>
            </w:r>
          </w:p>
        </w:tc>
        <w:tc>
          <w:tcPr>
            <w:tcW w:type="dxa" w:w="4320"/>
          </w:tcPr>
          <w:p>
            <w:r>
              <w:rPr>
                <w:sz w:val="19"/>
              </w:rPr>
            </w:r>
            <w:r>
              <w:rPr>
                <w:sz w:val="19"/>
              </w:rPr>
              <w:t>Notificación de seleccionados</w:t>
            </w:r>
          </w:p>
        </w:tc>
      </w:tr>
      <w:tr>
        <w:tc>
          <w:tcPr>
            <w:tcW w:type="dxa" w:w="4320"/>
          </w:tcPr>
          <w:p>
            <w:r>
              <w:rPr>
                <w:sz w:val="19"/>
              </w:rPr>
            </w:r>
            <w:r>
              <w:rPr>
                <w:sz w:val="19"/>
              </w:rPr>
              <w:t>12 de octubre al 30 de noviembre de 2026</w:t>
            </w:r>
          </w:p>
        </w:tc>
        <w:tc>
          <w:tcPr>
            <w:tcW w:type="dxa" w:w="4320"/>
          </w:tcPr>
          <w:p>
            <w:r>
              <w:rPr>
                <w:sz w:val="19"/>
              </w:rPr>
            </w:r>
            <w:r>
              <w:rPr>
                <w:sz w:val="19"/>
              </w:rPr>
              <w:t>Firma de convenio y primera entrega de fondos</w:t>
            </w:r>
          </w:p>
        </w:tc>
      </w:tr>
    </w:tbl>
    <w:p/>
    <w:p>
      <w:pPr>
        <w:spacing w:after="120"/>
      </w:pPr>
      <w:r>
        <w:t xml:space="preserve">🔑 </w:t>
      </w:r>
      <w:r>
        <w:rPr>
          <w:b/>
        </w:rPr>
        <w:t>Para la firma del convenio:</w:t>
      </w:r>
      <w:r>
        <w:t xml:space="preserve"> pedir el segundo tramo al cierre de la Etapa 1, fines de febrero</w:t>
      </w:r>
    </w:p>
    <w:p>
      <w:pPr>
        <w:spacing w:after="120"/>
      </w:pPr>
      <w:r>
        <w:t xml:space="preserve">de 2027. Está marcado en la carta Gantt y fundamentado en </w:t>
      </w:r>
      <w:r>
        <w:rPr>
          <w:rFonts w:ascii="Consolas" w:hAnsi="Consolas"/>
          <w:sz w:val="19"/>
        </w:rPr>
        <w:t>FMA_2026_FLUJO_DE_CAJA.md</w:t>
      </w:r>
      <w:r>
        <w:t>. Sin eso,</w:t>
      </w:r>
    </w:p>
    <w:p>
      <w:pPr>
        <w:spacing w:after="120"/>
      </w:pPr>
      <w:r>
        <w:t>Ekuwün tendría que adelantar hasta $965.990 en plena temporada de terreno.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