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Respuestas a los comentarios de Nicolás Mendoza</w:t>
      </w:r>
    </w:p>
    <w:p>
      <w:pPr>
        <w:spacing w:after="120"/>
      </w:pPr>
      <w:r>
        <w:rPr>
          <w:b/>
        </w:rPr>
        <w:t>Documento comentado:</w:t>
      </w:r>
      <w:r>
        <w:t xml:space="preserve"> </w:t>
      </w:r>
      <w:r>
        <w:rPr>
          <w:rFonts w:ascii="Consolas" w:hAnsi="Consolas"/>
          <w:sz w:val="19"/>
        </w:rPr>
        <w:t>RESUMEN_PARA_CONVERSAR NM.docx</w:t>
      </w:r>
      <w:r>
        <w:t xml:space="preserve"> · 25 comentarios · 13 de agosto de 2026</w:t>
      </w:r>
    </w:p>
    <w:p>
      <w:pPr>
        <w:spacing w:after="120"/>
      </w:pPr>
      <w:r>
        <w:rPr>
          <w:b/>
        </w:rPr>
        <w:t>Responde:</w:t>
      </w:r>
      <w:r>
        <w:t xml:space="preserve"> revisión sobre el documento original y sobre el material de la postulación.</w:t>
      </w:r>
    </w:p>
    <w:p>
      <w:pPr>
        <w:ind w:left="432"/>
      </w:pPr>
      <w:r>
        <w:rPr>
          <w:b/>
          <w:i/>
          <w:color w:val="444444"/>
        </w:rPr>
        <w:t>Cómo leer esto.</w:t>
      </w:r>
      <w:r>
        <w:rPr>
          <w:i/>
          <w:color w:val="444444"/>
        </w:rPr>
        <w:t xml:space="preserve"> Cada comentario tiene un veredicto:</w:t>
      </w:r>
    </w:p>
    <w:p>
      <w:pPr>
        <w:ind w:left="432"/>
      </w:pPr>
      <w:r>
        <w:rPr>
          <w:i/>
          <w:color w:val="444444"/>
        </w:rPr>
        <w:t xml:space="preserve">✅ </w:t>
      </w:r>
      <w:r>
        <w:rPr>
          <w:b/>
          <w:i/>
          <w:color w:val="444444"/>
        </w:rPr>
        <w:t>Acepto</w:t>
      </w:r>
      <w:r>
        <w:rPr>
          <w:i/>
          <w:color w:val="444444"/>
        </w:rPr>
        <w:t xml:space="preserve"> — tiene razón, se corrige · 🟡 </w:t>
      </w:r>
      <w:r>
        <w:rPr>
          <w:b/>
          <w:i/>
          <w:color w:val="444444"/>
        </w:rPr>
        <w:t>Acepto con matiz</w:t>
      </w:r>
      <w:r>
        <w:rPr>
          <w:i/>
          <w:color w:val="444444"/>
        </w:rPr>
        <w:t xml:space="preserve"> — tiene razón en parte</w:t>
      </w:r>
    </w:p>
    <w:p>
      <w:pPr>
        <w:ind w:left="432"/>
      </w:pPr>
      <w:r>
        <w:rPr>
          <w:i/>
          <w:color w:val="444444"/>
        </w:rPr>
        <w:t xml:space="preserve">❌ </w:t>
      </w:r>
      <w:r>
        <w:rPr>
          <w:b/>
          <w:i/>
          <w:color w:val="444444"/>
        </w:rPr>
        <w:t>No</w:t>
      </w:r>
      <w:r>
        <w:rPr>
          <w:i/>
          <w:color w:val="444444"/>
        </w:rPr>
        <w:t xml:space="preserve"> — con la razón dicha · ⬜ </w:t>
      </w:r>
      <w:r>
        <w:rPr>
          <w:b/>
          <w:i/>
          <w:color w:val="444444"/>
        </w:rPr>
        <w:t>Necesito que él o tú decidan / hay que verificar</w:t>
      </w:r>
    </w:p>
    <w:p>
      <w:pPr>
        <w:ind w:left="432"/>
      </w:pPr>
      <w:r>
        <w:rPr>
          <w:i/>
          <w:color w:val="444444"/>
        </w:rPr>
        <w:t>**Resumen: de 25 comentarios, 17 son correcciones que hay que hacer, 5 son preguntas con respuesta,</w:t>
      </w:r>
    </w:p>
    <w:p>
      <w:pPr>
        <w:ind w:left="432"/>
      </w:pPr>
      <w:r>
        <w:rPr>
          <w:i/>
          <w:color w:val="444444"/>
        </w:rPr>
        <w:t>2 requieren decisión tuya y 1 quedó cortado.** Tres de ellos tocan cosas de fondo, no de redacción:</w:t>
      </w:r>
    </w:p>
    <w:p>
      <w:pPr>
        <w:ind w:left="432"/>
      </w:pPr>
      <w:r>
        <w:rPr>
          <w:i/>
          <w:color w:val="444444"/>
        </w:rPr>
        <w:t xml:space="preserve">el </w:t>
      </w:r>
      <w:r>
        <w:rPr>
          <w:b/>
          <w:i/>
          <w:color w:val="444444"/>
        </w:rPr>
        <w:t>#0</w:t>
      </w:r>
      <w:r>
        <w:rPr>
          <w:i/>
          <w:color w:val="444444"/>
        </w:rPr>
        <w:t xml:space="preserve"> (el satélite mide verde, no árboles), el </w:t>
      </w:r>
      <w:r>
        <w:rPr>
          <w:b/>
          <w:i/>
          <w:color w:val="444444"/>
        </w:rPr>
        <w:t>#14-16</w:t>
      </w:r>
      <w:r>
        <w:rPr>
          <w:i/>
          <w:color w:val="444444"/>
        </w:rPr>
        <w:t xml:space="preserve"> (la carga es real) y el </w:t>
      </w:r>
      <w:r>
        <w:rPr>
          <w:b/>
          <w:i/>
          <w:color w:val="444444"/>
        </w:rPr>
        <w:t>#7</w:t>
      </w:r>
      <w:r>
        <w:rPr>
          <w:i/>
          <w:color w:val="444444"/>
        </w:rPr>
        <w:t xml:space="preserve"> (hasta</w:t>
      </w:r>
    </w:p>
    <w:p>
      <w:pPr>
        <w:ind w:left="432"/>
      </w:pPr>
      <w:r>
        <w:rPr>
          <w:i/>
          <w:color w:val="444444"/>
        </w:rPr>
        <w:t>dónde publicar el precio de cada árbol). Esos tres los trato largo; el resto es rápido.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Los tres de fondo</w:t>
      </w:r>
    </w:p>
    <w:p>
      <w:pPr>
        <w:pStyle w:val="Heading3"/>
      </w:pPr>
      <w:r>
        <w:rPr>
          <w:color w:val="1B4D3E"/>
        </w:rPr>
        <w:t>🔴 0 — El satélite mide verde, no árboles. Tiene razón y es la corrección más importante de las 25.</w:t>
      </w:r>
    </w:p>
    <w:p>
      <w:pPr>
        <w:spacing w:after="120"/>
      </w:pPr>
      <w:r>
        <w:t xml:space="preserve">Pide tres cosas: pulir el polígono del área de estudio, </w:t>
      </w:r>
      <w:r>
        <w:rPr>
          <w:b/>
        </w:rPr>
        <w:t>separar vegetación arbórea de arbustiva</w:t>
      </w:r>
      <w:r>
        <w:t>, y aclarar de dónde salen los loteos. La segunda es la que importa.</w:t>
      </w:r>
    </w:p>
    <w:p>
      <w:pPr>
        <w:spacing w:after="120"/>
      </w:pPr>
      <w:r>
        <w:rPr>
          <w:b/>
        </w:rPr>
        <w:t>Es cierto y es una limitación real de nuestro análisis.</w:t>
      </w:r>
      <w:r>
        <w:t xml:space="preserve"> Nuestras capas —NDVI y Dynamic World— detectan </w:t>
      </w:r>
      <w:r>
        <w:rPr>
          <w:b/>
        </w:rPr>
        <w:t>cobertura vegetal</w:t>
      </w:r>
      <w:r>
        <w:t xml:space="preserve">, a 10-30 m de resolución. A esa escala, un seto de aromo, un sitio eriazo con pasto alto y un liquidámbar de 15 m pueden caer en la misma clase. </w:t>
      </w:r>
      <w:r>
        <w:rPr>
          <w:b/>
        </w:rPr>
        <w:t>Cuando decimos "se perdió 4,2 veces más arbolado" estamos diciendo, en rigor, "se perdió 4,2 veces más cobertura vegetal".</w:t>
      </w:r>
      <w:r>
        <w:t xml:space="preserve"> No es lo mismo y hay que dejar de mezclarlo.</w:t>
      </w:r>
    </w:p>
    <w:p>
      <w:pPr>
        <w:spacing w:after="120"/>
      </w:pPr>
      <w:r>
        <w:t>Qué hago con esto:</w:t>
      </w:r>
    </w:p>
    <w:p>
      <w:pPr>
        <w:pStyle w:val="ListNumber"/>
      </w:pPr>
      <w:r>
        <w:rPr>
          <w:b/>
        </w:rPr>
        <w:t>Cambio la palabra en todo el material</w:t>
      </w:r>
      <w:r>
        <w:t>: "cobertura vegetal" o "verde" donde el dato viene del satélite; "arbolado" solo donde viene de terreno. Es un reemplazo mecánico y cuesta nada.</w:t>
      </w:r>
    </w:p>
    <w:p>
      <w:pPr>
        <w:pStyle w:val="ListNumber"/>
      </w:pPr>
      <w:r>
        <w:t xml:space="preserve">🔑 </w:t>
      </w:r>
      <w:r>
        <w:rPr>
          <w:b/>
        </w:rPr>
        <w:t>Y esto no debilita la postulación: es exactamente su argumento.</w:t>
      </w:r>
      <w:r>
        <w:t xml:space="preserve"> El proyecto existe porque el satélite no distingue un árbol de un matorral. Dicho así, la limitación deja de ser un flanco y pasa a ser la justificación. Conviene decirlo con todas sus letras en el formulario.</w:t>
      </w:r>
    </w:p>
    <w:p>
      <w:pPr>
        <w:pStyle w:val="ListNumber"/>
      </w:pPr>
      <w:r>
        <w:rPr>
          <w:b/>
        </w:rPr>
        <w:t>El polígono del área de estudio</w:t>
      </w:r>
      <w:r>
        <w:t xml:space="preserve"> sí hay que cerrarlo bien (casco urbano consolidado vs. comuna completa). Ya sabemos que a escala comunal el balance no baja porque la periferia rural reverdece — ese es justamente el error que el polígono mal definido produce.</w:t>
      </w:r>
    </w:p>
    <w:p>
      <w:pPr>
        <w:spacing w:after="120"/>
      </w:pPr>
      <w:r>
        <w:rPr>
          <w:b/>
        </w:rPr>
        <w:t>Sobre los loteos:</w:t>
      </w:r>
      <w:r>
        <w:t xml:space="preserve"> la cifra sale de cruzar nuestra serie satelital con la capa de </w:t>
      </w:r>
      <w:r>
        <w:rPr>
          <w:b/>
        </w:rPr>
        <w:t>344 loteos aprobados entre 2005 y 2024</w:t>
      </w:r>
      <w:r>
        <w:t xml:space="preserve"> (dato municipal). ⬜ Hay que dejar registrada la fuente exacta y su fecha de descarga en el documento metodológico, porque si él no la recuerda, un evaluador tampoco la va a encontrar.</w:t>
      </w:r>
    </w:p>
    <w:p>
      <w:pPr>
        <w:spacing w:after="120"/>
      </w:pPr>
      <w:r>
        <w:rPr>
          <w:b/>
        </w:rPr>
        <w:t>Sobre el texto que propone:</w:t>
      </w:r>
      <w:r>
        <w:t xml:space="preserve"> es mejor que el mío y lo adopto casi completo. Es más honesto porque </w:t>
      </w:r>
      <w:r>
        <w:rPr>
          <w:b/>
        </w:rPr>
        <w:t>reparte las causas</w:t>
      </w:r>
      <w:r>
        <w:t xml:space="preserve"> en vez de colgarlas todas de los loteos: crecimiento urbano, obras viales, talas de particulares, intervenciones no autorizadas y eventos climáticos.</w:t>
      </w:r>
    </w:p>
    <w:p>
      <w:pPr>
        <w:spacing w:after="120"/>
      </w:pPr>
      <w:r>
        <w:t xml:space="preserve">⚠️ </w:t>
      </w:r>
      <w:r>
        <w:rPr>
          <w:b/>
        </w:rPr>
        <w:t>Una sola precaución antes de usarlo.</w:t>
      </w:r>
      <w:r>
        <w:t xml:space="preserve"> Su párrafo nombra ejes concretos —Caupolicán, San Martín, O'Higgins— y tipos de causa que </w:t>
      </w:r>
      <w:r>
        <w:rPr>
          <w:b/>
        </w:rPr>
        <w:t>nosotros no hemos medido</w:t>
      </w:r>
      <w:r>
        <w:t xml:space="preserve">. En un documento para conversar está perfecto: es conocimiento local de alguien que vive acá. En la postulación hay que etiquetarlo como </w:t>
      </w:r>
      <w:r>
        <w:rPr>
          <w:b/>
        </w:rPr>
        <w:t>observación conocida en la ciudad</w:t>
      </w:r>
      <w:r>
        <w:t>, no como resultado del observatorio. La única causa que tenemos cuantificada es la de los loteos.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3"/>
      </w:pPr>
      <w:r>
        <w:rPr>
          <w:color w:val="1B4D3E"/>
        </w:rPr>
        <w:t>🔴 14 · 15 · 16 — "Parece harta carga, requiere varias personas comprometidas, ¿cómo se integra al currículum?"</w:t>
      </w:r>
    </w:p>
    <w:p>
      <w:pPr>
        <w:spacing w:after="120"/>
      </w:pPr>
      <w:r>
        <w:t xml:space="preserve">Los tres son el mismo comentario y es la crítica más seria que hace. </w:t>
      </w:r>
      <w:r>
        <w:rPr>
          <w:b/>
        </w:rPr>
        <w:t>Tiene razón, y la respuesta obliga a recortar.</w:t>
      </w:r>
    </w:p>
    <w:p>
      <w:pPr>
        <w:spacing w:after="120"/>
      </w:pPr>
      <w:r>
        <w:rPr>
          <w:b/>
        </w:rPr>
        <w:t>Primero, lo que preguntó y sí tiene respuesta verificable: qué puntean las bases.</w:t>
      </w:r>
      <w:r>
        <w:t xml:space="preserve"> Fui a buscarlo. </w:t>
      </w:r>
      <w:r>
        <w:rPr>
          <w:b/>
        </w:rPr>
        <w:t>No hay planilla de evaluación.</w:t>
      </w:r>
      <w:r>
        <w:t xml:space="preserve"> La pregunta 33 de la jornada oficial es exactamente esa, y la respuesta fue que </w:t>
      </w:r>
      <w:r>
        <w:rPr>
          <w:i/>
        </w:rPr>
        <w:t>el comité evalúa el cumplimiento de requisitos y la coherencia del proyecto con las temáticas y objetivos</w:t>
      </w:r>
      <w:r>
        <w:t xml:space="preserve">. Las bases lo confirman: la postulación se evalúa </w:t>
      </w:r>
      <w:r>
        <w:rPr>
          <w:i/>
        </w:rPr>
        <w:t>"según las características descritas en este documento, y la coherencia de su proyecto"</w:t>
      </w:r>
      <w:r>
        <w:t>.</w:t>
      </w:r>
    </w:p>
    <w:p>
      <w:pPr>
        <w:spacing w:after="120"/>
      </w:pPr>
      <w:r>
        <w:t xml:space="preserve">🔑 </w:t>
      </w:r>
      <w:r>
        <w:rPr>
          <w:b/>
        </w:rPr>
        <w:t>Consecuencia directa: abarcar más no suma puntaje, porque no hay puntaje. Lo que se evalúa es coherencia.</w:t>
      </w:r>
      <w:r>
        <w:t xml:space="preserve"> Y un proyecto sobrecargado es, por definición, menos coherente. Su intuición y el criterio del fondo apuntan al mismo lado.</w:t>
      </w:r>
    </w:p>
    <w:p>
      <w:pPr>
        <w:spacing w:after="120"/>
      </w:pPr>
      <w:r>
        <w:rPr>
          <w:b/>
        </w:rPr>
        <w:t>Segundo, la comparación que pidió.</w:t>
      </w:r>
      <w:r>
        <w:t xml:space="preserve"> El proyecto ganador que FMA presentó en la jornada —Raíces de Calafate, Chile Chico— fue </w:t>
      </w:r>
      <w:r>
        <w:rPr>
          <w:b/>
        </w:rPr>
        <w:t>50 estudiantes, 60 horas, transectos con iNaturalist, un cuadernillo docente y una propuesta curricular</w:t>
      </w:r>
      <w:r>
        <w:t>. Nada más. Sus productos eran pedagógicos, no tecnológicos. Nosotros teníamos, hasta hoy: 210 árboles, tres escuelas, cinco grupos de organismos, control de calidad ciego, herbario ilustrado, expedientes patrimoniales, estimación de servicios y sistema de monitoreo.</w:t>
      </w:r>
    </w:p>
    <w:p>
      <w:pPr>
        <w:spacing w:after="120"/>
      </w:pPr>
      <w:r>
        <w:rPr>
          <w:b/>
        </w:rPr>
        <w:t>Tercero, lo que propongo recortar.</w:t>
      </w:r>
      <w:r>
        <w:t xml:space="preserve"> No la ambición científica, que es lo que distingue la propuesta, sino el número de frentes simultáneos: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Decisión propuesta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210 árboles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Bajar el compromiso a 180</w:t>
            </w:r>
            <w:r>
              <w:rPr>
                <w:sz w:val="19"/>
              </w:rPr>
              <w:t xml:space="preserve"> y declarar 210 como meta. Ya lo dejé así en el plan de actividades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Cinco grupos de organismos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Comprometer líquenes y hongos</w:t>
            </w:r>
            <w:r>
              <w:rPr>
                <w:sz w:val="19"/>
              </w:rPr>
              <w:t xml:space="preserve"> (co-núcleo, con especialista). Aves y artrópodos pasan a </w:t>
            </w:r>
            <w:r>
              <w:rPr>
                <w:b/>
                <w:sz w:val="19"/>
              </w:rPr>
              <w:t>componentes declarados como complementarios</w:t>
            </w:r>
            <w:r>
              <w:rPr>
                <w:sz w:val="19"/>
              </w:rPr>
              <w:t>, no como compromiso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Herbario ilustrado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queda</w:t>
            </w:r>
            <w:r>
              <w:rPr>
                <w:sz w:val="19"/>
              </w:rPr>
              <w:t xml:space="preserve"> — es campo obligatorio del formulario, no es opcional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Expedientes Art. 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queda pero baja de 3 a "al menos 1 por escuela, mínimo 1 en total"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Tres escuelas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quedan.</w:t>
            </w:r>
            <w:r>
              <w:rPr>
                <w:sz w:val="19"/>
              </w:rPr>
              <w:t xml:space="preserve"> Es la identidad del proyecto y el argumento de replicabilidad</w:t>
            </w:r>
          </w:p>
        </w:tc>
      </w:tr>
    </w:tbl>
    <w:p/>
    <w:p>
      <w:pPr>
        <w:spacing w:after="120"/>
      </w:pPr>
      <w:r>
        <w:rPr>
          <w:b/>
        </w:rPr>
        <w:t>Cuarto, "requiere varias personas comprometidas" — sí, y ese es el problema real.</w:t>
      </w:r>
      <w:r>
        <w:t xml:space="preserve"> Hoy tenemos cubiertos dos roles y medio de seis. La </w:t>
      </w:r>
      <w:r>
        <w:rPr>
          <w:b/>
        </w:rPr>
        <w:t>coordinación pedagógica sigue vacante</w:t>
      </w:r>
      <w:r>
        <w:t xml:space="preserve"> y es justamente la que sostendría la respuesta a su tercera pregunta.</w:t>
      </w:r>
    </w:p>
    <w:p>
      <w:pPr>
        <w:spacing w:after="120"/>
      </w:pPr>
      <w:r>
        <w:rPr>
          <w:b/>
        </w:rPr>
        <w:t>Quinto, la integración curricular, que es la mejor idea de las tres.</w:t>
      </w:r>
      <w:r>
        <w:t xml:space="preserve"> Tiene toda la razón: si esto se ejecuta </w:t>
      </w:r>
      <w:r>
        <w:rPr>
          <w:i/>
        </w:rPr>
        <w:t>además</w:t>
      </w:r>
      <w:r>
        <w:t xml:space="preserve"> de las clases, es carga y no se sostiene después. Si se ejecuta </w:t>
      </w:r>
      <w:r>
        <w:rPr>
          <w:i/>
        </w:rPr>
        <w:t>dentro</w:t>
      </w:r>
      <w:r>
        <w:t xml:space="preserve"> de las clases, es currículum y se repite solo. Las vías reales:</w:t>
      </w:r>
    </w:p>
    <w:p>
      <w:pPr>
        <w:pStyle w:val="ListBullet"/>
      </w:pPr>
      <w:r>
        <w:rPr>
          <w:b/>
        </w:rPr>
        <w:t>Ciencias Naturales</w:t>
      </w:r>
      <w:r>
        <w:t xml:space="preserve"> de 7° y 8° básico: los objetivos de aprendizaje de indagación científica —formular preguntas, medir, registrar, interpretar datos— son literalmente el protocolo. No hay que forzar nada.</w:t>
      </w:r>
    </w:p>
    <w:p>
      <w:pPr>
        <w:pStyle w:val="ListBullet"/>
      </w:pPr>
      <w:r>
        <w:rPr>
          <w:b/>
        </w:rPr>
        <w:t>Los Trigales</w:t>
      </w:r>
      <w:r>
        <w:t>: mapuzugun de NT1 a 4°, para los nombres de los árboles.</w:t>
      </w:r>
    </w:p>
    <w:p>
      <w:pPr>
        <w:pStyle w:val="ListBullet"/>
      </w:pPr>
      <w:r>
        <w:rPr>
          <w:b/>
        </w:rPr>
        <w:t>Hablaarte</w:t>
      </w:r>
      <w:r>
        <w:t>: nombrar objetos del mundo real es el contenido de una escuela de lenguaje.</w:t>
      </w:r>
    </w:p>
    <w:p>
      <w:pPr>
        <w:pStyle w:val="ListBullet"/>
      </w:pPr>
      <w:r>
        <w:rPr>
          <w:b/>
        </w:rPr>
        <w:t>Matemática</w:t>
      </w:r>
      <w:r>
        <w:t>: el perímetro a diámetro, el área de la elipse de copa, los promedios. Es geometría aplicada con datos propios.</w:t>
      </w:r>
    </w:p>
    <w:p>
      <w:pPr>
        <w:spacing w:after="120"/>
      </w:pPr>
      <w:r>
        <w:t xml:space="preserve">⬜ </w:t>
      </w:r>
      <w:r>
        <w:rPr>
          <w:b/>
        </w:rPr>
        <w:t>Lo que hay que hacer con esto:</w:t>
      </w:r>
      <w:r>
        <w:t xml:space="preserve"> preguntarles a los docentes de las tres escuelas </w:t>
      </w:r>
      <w:r>
        <w:rPr>
          <w:b/>
        </w:rPr>
        <w:t>en qué asignatura y en qué unidad lo meterían</w:t>
      </w:r>
      <w:r>
        <w:t>, y escribirlo así en la postulación. Es la diferencia entre "haremos talleres" y "esto se ejecuta dentro de la asignatura X". Lo segundo responde el campo decisivo del formulario, que es la proyección a largo plazo.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3"/>
      </w:pPr>
      <w:r>
        <w:rPr>
          <w:color w:val="1B4D3E"/>
        </w:rPr>
        <w:t>🟡 6 y 7 — El precio del árbol: sí calcularlo, no publicarlo como lista de precios</w:t>
      </w:r>
    </w:p>
    <w:p>
      <w:pPr>
        <w:spacing w:after="120"/>
      </w:pPr>
      <w:r>
        <w:t>Los dos comentarios se contradicen entre sí —uno pide buscar el valor y el otro dice no ponerlo— y creo que ambos tienen una parte de razón. Los respondo juntos.</w:t>
      </w:r>
    </w:p>
    <w:p>
      <w:pPr>
        <w:spacing w:after="120"/>
      </w:pPr>
      <w:r>
        <w:rPr>
          <w:b/>
        </w:rPr>
        <w:t>#6 "Buscar el valor para Temuco. Espero que sean precios altos."</w:t>
      </w:r>
    </w:p>
    <w:p>
      <w:pPr>
        <w:spacing w:after="120"/>
      </w:pPr>
      <w:r>
        <w:t xml:space="preserve">Sí son altos, y el orden de magnitud vale la pena. La fórmula del Art. 32 es </w:t>
      </w:r>
      <w:r>
        <w:rPr>
          <w:b/>
        </w:rPr>
        <w:t>Vt = Vb · fd · fu · fs</w:t>
      </w:r>
      <w:r>
        <w:t>:</w:t>
      </w:r>
    </w:p>
    <w:p>
      <w:pPr>
        <w:pStyle w:val="ListBullet"/>
      </w:pPr>
      <w:r>
        <w:rPr>
          <w:b/>
        </w:rPr>
        <w:t>Vb</w:t>
      </w:r>
      <w:r>
        <w:t xml:space="preserve"> va de </w:t>
      </w:r>
      <w:r>
        <w:rPr>
          <w:b/>
        </w:rPr>
        <w:t>1,0 UTM</w:t>
      </w:r>
      <w:r>
        <w:t xml:space="preserve"> (Grupo 1, árbol de 1-4 años) hasta </w:t>
      </w:r>
      <w:r>
        <w:rPr>
          <w:b/>
        </w:rPr>
        <w:t>~30 UTM</w:t>
      </w:r>
      <w:r>
        <w:t xml:space="preserve"> (Grupo 3 —nativas de alto valor: araucaria, nothofagus, quillay, boldo, canelo, avellano, maitén, luma— de 41-45 años).</w:t>
      </w:r>
    </w:p>
    <w:p>
      <w:pPr>
        <w:pStyle w:val="ListBullet"/>
      </w:pPr>
      <w:r>
        <w:rPr>
          <w:b/>
        </w:rPr>
        <w:t>fu</w:t>
      </w:r>
      <w:r>
        <w:t xml:space="preserve"> multiplica por </w:t>
      </w:r>
      <w:r>
        <w:rPr>
          <w:b/>
        </w:rPr>
        <w:t>2,0</w:t>
      </w:r>
      <w:r>
        <w:t xml:space="preserve"> si está en plaza o parque.</w:t>
      </w:r>
    </w:p>
    <w:p>
      <w:pPr>
        <w:pStyle w:val="ListBullet"/>
      </w:pPr>
      <w:r>
        <w:rPr>
          <w:b/>
        </w:rPr>
        <w:t>fs</w:t>
      </w:r>
      <w:r>
        <w:t xml:space="preserve"> multiplica por </w:t>
      </w:r>
      <w:r>
        <w:rPr>
          <w:b/>
        </w:rPr>
        <w:t>5,0</w:t>
      </w:r>
      <w:r>
        <w:t xml:space="preserve"> si es patrimonial y por </w:t>
      </w:r>
      <w:r>
        <w:rPr>
          <w:b/>
        </w:rPr>
        <w:t>7,0</w:t>
      </w:r>
      <w:r>
        <w:t xml:space="preserve"> si es monumento natural.</w:t>
      </w:r>
    </w:p>
    <w:p>
      <w:pPr>
        <w:spacing w:after="120"/>
      </w:pPr>
      <w:r>
        <w:t xml:space="preserve">Un roble maduro y sano en una plaza: </w:t>
      </w:r>
      <w:r>
        <w:rPr>
          <w:b/>
        </w:rPr>
        <w:t>30 × 1,0 × 2,0 = 60 UTM</w:t>
      </w:r>
      <w:r>
        <w:t xml:space="preserve">. Si además fuera patrimonial, ×5. ⬜ </w:t>
      </w:r>
      <w:r>
        <w:rPr>
          <w:b/>
        </w:rPr>
        <w:t>Falta un solo dato para convertirlo a pesos: el valor de la UTM del mes</w:t>
      </w:r>
      <w:r>
        <w:t xml:space="preserve">, que se consulta en el SII. No lo pongo acá porque no lo tengo verificado y este documento no lleva cifras sin fuente. Pero la conclusión se sostiene sin él: </w:t>
      </w:r>
      <w:r>
        <w:rPr>
          <w:b/>
        </w:rPr>
        <w:t>hablamos de millones de pesos por un solo árbol maduro.</w:t>
      </w:r>
    </w:p>
    <w:p>
      <w:pPr>
        <w:spacing w:after="120"/>
      </w:pPr>
      <w:r>
        <w:rPr>
          <w:b/>
        </w:rPr>
        <w:t>#7 "Quizás no poner el valor puntual en el proyecto."</w:t>
      </w:r>
      <w:r>
        <w:t xml:space="preserve"> — 🟡 </w:t>
      </w:r>
      <w:r>
        <w:rPr>
          <w:b/>
        </w:rPr>
        <w:t>Acepto, con una distinción.</w:t>
      </w:r>
    </w:p>
    <w:p>
      <w:pPr>
        <w:spacing w:after="120"/>
      </w:pPr>
      <w:r>
        <w:t xml:space="preserve">Tiene razón en el riesgo, y hay además un problema técnico que lo refuerza: </w:t>
      </w:r>
      <w:r>
        <w:rPr>
          <w:b/>
        </w:rPr>
        <w:t>Vb depende de la edad del árbol, y la edad no la medimos.</w:t>
      </w:r>
      <w:r>
        <w:t xml:space="preserve"> Publicar "este árbol vale $3.482.116" sería precisión falsa sobre un supuesto que no tenemos.</w:t>
      </w:r>
    </w:p>
    <w:p>
      <w:pPr>
        <w:spacing w:after="120"/>
      </w:pPr>
      <w:r>
        <w:rPr>
          <w:b/>
        </w:rPr>
        <w:t>Mi propuesta, que creo que satisface a los dos comentarios: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expresa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 árbol individual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Como </w:t>
            </w:r>
            <w:r>
              <w:rPr>
                <w:b/>
                <w:sz w:val="19"/>
              </w:rPr>
              <w:t>rango</w:t>
            </w:r>
            <w:r>
              <w:rPr>
                <w:sz w:val="19"/>
              </w:rPr>
              <w:t xml:space="preserve"> en UTM: </w:t>
            </w:r>
            <w:r>
              <w:rPr>
                <w:i/>
                <w:sz w:val="19"/>
              </w:rPr>
              <w:t>"entre X e Y UTM, según el rango de edad"</w:t>
            </w:r>
            <w:r>
              <w:rPr>
                <w:sz w:val="19"/>
              </w:rPr>
              <w:t>. Nunca una cifra exacta en pesos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 nivel del conjunto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Ahí sí una cifra fuerte: </w:t>
            </w:r>
            <w:r>
              <w:rPr>
                <w:i/>
                <w:sz w:val="19"/>
              </w:rPr>
              <w:t>"los 180 árboles caracterizados suman un valor de reposición de N UTM según la ordenanza del propio municipio"</w:t>
            </w:r>
            <w:r>
              <w:rPr>
                <w:sz w:val="19"/>
              </w:rPr>
              <w:t>. Es el número que sirve para incidir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Como herramienta vecinal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valor es útil </w:t>
            </w:r>
            <w:r>
              <w:rPr>
                <w:b/>
                <w:sz w:val="19"/>
              </w:rPr>
              <w:t>cuando alguien tala</w:t>
            </w:r>
            <w:r>
              <w:rPr>
                <w:sz w:val="19"/>
              </w:rPr>
              <w:t>: sirve para exigir que se cobre. No como catálogo de precios permanente</w:t>
            </w:r>
          </w:p>
        </w:tc>
      </w:tr>
    </w:tbl>
    <w:p/>
    <w:p>
      <w:pPr>
        <w:spacing w:after="120"/>
      </w:pPr>
      <w:r>
        <w:t xml:space="preserve">⬜ </w:t>
      </w:r>
      <w:r>
        <w:rPr>
          <w:b/>
        </w:rPr>
        <w:t>Y la salida limpia al problema de la edad:</w:t>
      </w:r>
      <w:r>
        <w:t xml:space="preserve"> preguntarle a la DMAO cómo aplican ellos la tabla en la práctica. Si el municipio ya tiene un criterio de diámetro a edad, lo adoptamos y quedamos alineados con quien cobra. Es una consulta de un correo.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Los que se corrigen sin discusión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Comentario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Veredicto y qué hago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¿El observatorio se muestra ahora, es una actividad del proyecto, o fue un paso anterior?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Paso anterior, sin duda, y es la respuesta que más conviene.</w:t>
            </w:r>
            <w:r>
              <w:rPr>
                <w:sz w:val="19"/>
              </w:rPr>
              <w:t xml:space="preserve"> Las bases </w:t>
            </w:r>
            <w:r>
              <w:rPr>
                <w:b/>
                <w:sz w:val="19"/>
              </w:rPr>
              <w:t>excluyen proyectos en etapa de idea</w:t>
            </w:r>
            <w:r>
              <w:rPr>
                <w:sz w:val="19"/>
              </w:rPr>
              <w:t xml:space="preserve">, y el formulario tiene un campo específico: </w:t>
            </w:r>
            <w:r>
              <w:rPr>
                <w:i/>
                <w:sz w:val="19"/>
              </w:rPr>
              <w:t>"¿hubo validación previa?"</w:t>
            </w:r>
            <w:r>
              <w:rPr>
                <w:sz w:val="19"/>
              </w:rPr>
              <w:t xml:space="preserve">, que define como </w:t>
            </w:r>
            <w:r>
              <w:rPr>
                <w:i/>
                <w:sz w:val="19"/>
              </w:rPr>
              <w:t>"proyectos previos empleando la metodología o trabajando con la comunidad"</w:t>
            </w:r>
            <w:r>
              <w:rPr>
                <w:sz w:val="19"/>
              </w:rPr>
              <w:t xml:space="preserve">. El observatorio califica exactamente. Ponerlo como actividad sería peor por dos motivos: cuesta cero mantenerlo (no hay nada que financiar) y el fondo </w:t>
            </w:r>
            <w:r>
              <w:rPr>
                <w:b/>
                <w:sz w:val="19"/>
              </w:rPr>
              <w:t>excluye campañas comunicacionales</w:t>
            </w:r>
            <w:r>
              <w:rPr>
                <w:sz w:val="19"/>
              </w:rPr>
              <w:t xml:space="preserve">, así que una plataforma como </w:t>
            </w:r>
            <w:r>
              <w:rPr>
                <w:i/>
                <w:sz w:val="19"/>
              </w:rPr>
              <w:t>producto</w:t>
            </w:r>
            <w:r>
              <w:rPr>
                <w:sz w:val="19"/>
              </w:rPr>
              <w:t xml:space="preserve"> es un flanco. Como </w:t>
            </w:r>
            <w:r>
              <w:rPr>
                <w:b/>
                <w:sz w:val="19"/>
              </w:rPr>
              <w:t>antecedente</w:t>
            </w:r>
            <w:r>
              <w:rPr>
                <w:sz w:val="19"/>
              </w:rPr>
              <w:t xml:space="preserve"> suma; como producto, resta.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guiones largos son muy 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Acepto.</w:t>
            </w:r>
            <w:r>
              <w:rPr>
                <w:sz w:val="19"/>
              </w:rPr>
              <w:t xml:space="preserve"> Reemplazo por comas, paréntesis o punto seguido según corresponda, en todo el material que salga de la carpeta. Aprovecho de bajar otras marcas de la estructura clásica: menos listas de tres, menos paralelismos, frases de largo desigual.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Nombrar a la especialista donde se habla de iNaturalist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Acepto, corrección directa.</w:t>
            </w:r>
            <w:r>
              <w:rPr>
                <w:sz w:val="19"/>
              </w:rPr>
              <w:t xml:space="preserve"> La plataforma no valida sola: valida una Ingeniera en Recursos Naturales con 2.893 identificaciones públicas, y además participa de las actividades. Va en el mismo párrafo.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Ligar el catastro a políticas públicas y a la ordenanza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Acepto.</w:t>
            </w:r>
            <w:r>
              <w:rPr>
                <w:sz w:val="19"/>
              </w:rPr>
              <w:t xml:space="preserve"> El Art. 28 ya estaba en el documento, pero recién en la página siguiente. Lo subo al párrafo del catastro: el municipio </w:t>
            </w:r>
            <w:r>
              <w:rPr>
                <w:b/>
                <w:sz w:val="19"/>
              </w:rPr>
              <w:t>está obligado</w:t>
            </w:r>
            <w:r>
              <w:rPr>
                <w:sz w:val="19"/>
              </w:rPr>
              <w:t xml:space="preserve"> a tener catastro y plataforma pública de aportes vecinales, y no los tiene. Eso convierte el catastro de iniciativa en cumplimiento de una obligación municipal incumplida.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Faltan beneficios como la reducción de olas de calor; nombrarlos aunque no se midan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Acepto, y mejor de lo que él pensaba: ese sí lo tenemos medido.</w:t>
            </w:r>
            <w:r>
              <w:rPr>
                <w:sz w:val="19"/>
              </w:rPr>
              <w:t xml:space="preserve"> +1,4 °C donde se perdió el dosel frente a donde se mantuvo. Agrupo en la introducción un párrafo de beneficios (sombra, temperatura, agua de escorrentía, hábitat, salud) distinguiendo los tres que medimos o estimamos de los que solo nombramos.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"No cuesta nada mantener" → tendiente a cero, algo se paga de 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 la precisión.</w:t>
            </w:r>
            <w:r>
              <w:rPr>
                <w:sz w:val="19"/>
              </w:rPr>
              <w:t xml:space="preserve"> Queda: </w:t>
            </w:r>
            <w:r>
              <w:rPr>
                <w:i/>
                <w:sz w:val="19"/>
              </w:rPr>
              <w:t>"su operación tiene un costo cercano a cero: el alojamiento es gratuito y el gasto de procesamiento es puntual y menor"</w:t>
            </w:r>
            <w:r>
              <w:rPr>
                <w:sz w:val="19"/>
              </w:rPr>
              <w:t>. Y calza con la sección de transparencia del sitio, que ya declara la huella del propio observatorio.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Cuidado con el dato de los 33 °C, ¿de dónde sale?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 y bajo el tono.</w:t>
            </w:r>
            <w:r>
              <w:rPr>
                <w:sz w:val="19"/>
              </w:rPr>
              <w:t xml:space="preserve"> Sale de nuestra capa Landsat de temperatura de superficie, agregada por unidad vecinal. Dos precisiones que faltaban: </w:t>
            </w:r>
            <w:r>
              <w:rPr>
                <w:b/>
                <w:sz w:val="19"/>
              </w:rPr>
              <w:t>es temperatura de superficie, no del aire</w:t>
            </w:r>
            <w:r>
              <w:rPr>
                <w:sz w:val="19"/>
              </w:rPr>
              <w:t xml:space="preserve"> (se sienten distinto y no son comparables), y </w:t>
            </w:r>
            <w:r>
              <w:rPr>
                <w:i/>
                <w:sz w:val="19"/>
              </w:rPr>
              <w:t>"la más caliente de las 36"</w:t>
            </w:r>
            <w:r>
              <w:rPr>
                <w:sz w:val="19"/>
              </w:rPr>
              <w:t xml:space="preserve"> es un ranking </w:t>
            </w:r>
            <w:r>
              <w:rPr>
                <w:b/>
                <w:sz w:val="19"/>
              </w:rPr>
              <w:t>dentro de nuestro propio análisis</w:t>
            </w:r>
            <w:r>
              <w:rPr>
                <w:sz w:val="19"/>
              </w:rPr>
              <w:t xml:space="preserve">, no un dato oficial. Cambio a: </w:t>
            </w:r>
            <w:r>
              <w:rPr>
                <w:i/>
                <w:sz w:val="19"/>
              </w:rPr>
              <w:t>"una de las unidades vecinales con mayor temperatura de superficie en nuestro análisis"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Puede haber plataformas con datos más robustos de calor en verano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Acepto.</w:t>
            </w:r>
            <w:r>
              <w:rPr>
                <w:sz w:val="19"/>
              </w:rPr>
              <w:t xml:space="preserve"> Mientras nuestro análisis no esté cerrado, el dato va etiquetado como estimación propia. ⬜ Vale la pena revisar si hay serie del SINCA o de la Dirección Meteorológica para Temuco que sirva de contraste; si existe y coincide, el dato se fortalece solo.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dato de los 1.200 estudiantes y el IVE; no van a participar los 1.200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 los dos.</w:t>
            </w:r>
            <w:r>
              <w:rPr>
                <w:sz w:val="19"/>
              </w:rPr>
              <w:t xml:space="preserve"> La matrícula y el IVE 90% son datos oficiales y se mantienen </w:t>
            </w:r>
            <w:r>
              <w:rPr>
                <w:b/>
                <w:sz w:val="19"/>
              </w:rPr>
              <w:t>como caracterización de la comunidad</w:t>
            </w:r>
            <w:r>
              <w:rPr>
                <w:sz w:val="19"/>
              </w:rPr>
              <w:t xml:space="preserve">, no como número de participantes. Agrego explícito: </w:t>
            </w:r>
            <w:r>
              <w:rPr>
                <w:i/>
                <w:sz w:val="19"/>
              </w:rPr>
              <w:t>"se trabajará con uno o dos cursos por establecimiento"</w:t>
            </w:r>
            <w:r>
              <w:rPr>
                <w:sz w:val="19"/>
              </w:rPr>
              <w:t>. Prometer 1.200 sería insostenible y se nota.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"No entiendo lo del tiempo"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Acepto: si no se entiende, está mal escrito.</w:t>
            </w:r>
            <w:r>
              <w:rPr>
                <w:sz w:val="19"/>
              </w:rPr>
              <w:t xml:space="preserve"> Es el esfuerzo de muestreo. Nueva redacción: </w:t>
            </w:r>
            <w:r>
              <w:rPr>
                <w:i/>
                <w:sz w:val="19"/>
              </w:rPr>
              <w:t>"Quien controla el reloj. Todos los equipos observan cada árbol durante los mismos minutos. Si un equipo mira cinco minutos y otro quince, el segundo va a encontrar más bichos aunque su árbol tenga menos vida, y los datos dejan de poder compararse."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"Cuánto más fresco es un lugar con árboles" hay que pulirlo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Acepto, está impreciso.</w:t>
            </w:r>
            <w:r>
              <w:rPr>
                <w:sz w:val="19"/>
              </w:rPr>
              <w:t xml:space="preserve"> No comparamos lugares con y sin árboles: comparamos </w:t>
            </w:r>
            <w:r>
              <w:rPr>
                <w:b/>
                <w:sz w:val="19"/>
              </w:rPr>
              <w:t>zonas que conservaron su cobertura contra zonas que la perdieron</w:t>
            </w:r>
            <w:r>
              <w:rPr>
                <w:sz w:val="19"/>
              </w:rPr>
              <w:t>, y la diferencia es de 1,4 °C de temperatura de superficie. Lo escribo así.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Las preguntas que tienen respuesta</w:t>
      </w:r>
    </w:p>
    <w:p>
      <w:pPr>
        <w:pStyle w:val="Heading3"/>
      </w:pPr>
      <w:r>
        <w:rPr>
          <w:color w:val="1B4D3E"/>
        </w:rPr>
        <w:t>3 — ¿Funciona iNaturalist de verdad? ¿Hay apps que distingan el tipo de árbol? ¿No pesa más tener profesionales?</w:t>
      </w:r>
    </w:p>
    <w:p>
      <w:pPr>
        <w:spacing w:after="120"/>
      </w:pPr>
      <w:r>
        <w:t>Las tres preguntas, por partes.</w:t>
      </w:r>
    </w:p>
    <w:p>
      <w:pPr>
        <w:spacing w:after="120"/>
      </w:pPr>
      <w:r>
        <w:rPr>
          <w:b/>
        </w:rPr>
        <w:t>¿Funciona?</w:t>
      </w:r>
      <w:r>
        <w:t xml:space="preserve"> Sí, y está verificado, no supuesto. Es la plataforma de referencia mundial en registro de biodiversidad, </w:t>
      </w:r>
      <w:r>
        <w:rPr>
          <w:b/>
        </w:rPr>
        <w:t>el Ministerio del Medio Ambiente tiene su propio nodo</w:t>
      </w:r>
      <w:r>
        <w:t xml:space="preserve"> (</w:t>
      </w:r>
      <w:r>
        <w:rPr>
          <w:rFonts w:ascii="Consolas" w:hAnsi="Consolas"/>
          <w:sz w:val="19"/>
        </w:rPr>
        <w:t>inaturalist.mma.gob.cl</w:t>
      </w:r>
      <w:r>
        <w:t xml:space="preserve">), y las observaciones con calidad de investigación </w:t>
      </w:r>
      <w:r>
        <w:rPr>
          <w:b/>
        </w:rPr>
        <w:t>fluyen automáticamente a GBIF</w:t>
      </w:r>
      <w:r>
        <w:t>, la base global. O sea: los datos de un estudiante de Campos Deportivos terminan en la misma infraestructura que usa la comunidad científica internacional. Eso no lo da ninguna app de identificación.</w:t>
      </w:r>
    </w:p>
    <w:p>
      <w:pPr>
        <w:spacing w:after="120"/>
      </w:pPr>
      <w:r>
        <w:t xml:space="preserve">⚠️ </w:t>
      </w:r>
      <w:r>
        <w:rPr>
          <w:b/>
        </w:rPr>
        <w:t>Pero hay un punto verificado que no es tan bueno y conviene saberlo:</w:t>
      </w:r>
      <w:r>
        <w:t xml:space="preserve"> el mecanismo que necesitamos —vincular cada observación al </w:t>
      </w:r>
      <w:r>
        <w:rPr>
          <w:i/>
        </w:rPr>
        <w:t>árbol individual</w:t>
      </w:r>
      <w:r>
        <w:t xml:space="preserve"> mediante un código— usa los "campos de observación", que solo funcionan en los proyectos tradicionales de iNaturalist, que son una funcionalidad heredada y con fallas documentadas de exportación. Por eso el diseño ya incluye una </w:t>
      </w:r>
      <w:r>
        <w:rPr>
          <w:b/>
        </w:rPr>
        <w:t>redundancia</w:t>
      </w:r>
      <w:r>
        <w:t xml:space="preserve">: el código va en el campo </w:t>
      </w:r>
      <w:r>
        <w:rPr>
          <w:i/>
        </w:rPr>
        <w:t>y</w:t>
      </w:r>
      <w:r>
        <w:t xml:space="preserve"> en las notas de la observación. Y por eso el piloto tiene que probar el circuito con 10 observaciones reales antes de comprometerlo.</w:t>
      </w:r>
    </w:p>
    <w:p>
      <w:pPr>
        <w:spacing w:after="120"/>
      </w:pPr>
      <w:r>
        <w:rPr>
          <w:b/>
        </w:rPr>
        <w:t>¿Hay apps que distingan el tipo de árbol?</w:t>
      </w:r>
      <w:r>
        <w:t xml:space="preserve"> Sí: </w:t>
      </w:r>
      <w:r>
        <w:rPr>
          <w:b/>
        </w:rPr>
        <w:t>Pl@ntNet</w:t>
      </w:r>
      <w:r>
        <w:t xml:space="preserve"> y </w:t>
      </w:r>
      <w:r>
        <w:rPr>
          <w:b/>
        </w:rPr>
        <w:t>Seek</w:t>
      </w:r>
      <w:r>
        <w:t xml:space="preserve"> identifican por fotografía y son buenas. Pero resuelven otro problema. Identifican </w:t>
      </w:r>
      <w:r>
        <w:rPr>
          <w:i/>
        </w:rPr>
        <w:t>para el usuario, en el momento</w:t>
      </w:r>
      <w:r>
        <w:t xml:space="preserve">; </w:t>
      </w:r>
      <w:r>
        <w:rPr>
          <w:b/>
        </w:rPr>
        <w:t>no dejan un registro trazable, no permiten vincular la observación a un árbol con código, no van a GBIF y nadie revisa la identificación después.</w:t>
      </w:r>
      <w:r>
        <w:t xml:space="preserve"> Sirven como apoyo en terreno para que un estudiante tenga una primera hipótesis. No sirven como sistema de datos. ⬜ Vale la pena probarlas en el piloto como herramienta auxiliar; me parece buena idea suya.</w:t>
      </w:r>
    </w:p>
    <w:p>
      <w:pPr>
        <w:spacing w:after="120"/>
      </w:pPr>
      <w:r>
        <w:rPr>
          <w:b/>
        </w:rPr>
        <w:t>¿Pesa más tener profesionales?</w:t>
      </w:r>
      <w:r>
        <w:t xml:space="preserve"> Sí, y en eso tiene toda la razón — es su comentario </w:t>
      </w:r>
      <w:r>
        <w:rPr>
          <w:b/>
        </w:rPr>
        <w:t>#4</w:t>
      </w:r>
      <w:r>
        <w:t>. La plataforma no reemplaza a nadie: no se le puede pedir cuentas a una comunidad voluntaria. La validación taxonómica es un rol indelegable del equipo. Lo corrijo en el texto.</w:t>
      </w:r>
    </w:p>
    <w:p>
      <w:pPr>
        <w:pStyle w:val="Heading3"/>
      </w:pPr>
      <w:r>
        <w:rPr>
          <w:color w:val="1B4D3E"/>
        </w:rPr>
        <w:t>9 — ¿Quién hace esas ecuaciones? ¿Podría terminar en un paper de ciencia ciudadana?</w:t>
      </w:r>
    </w:p>
    <w:p>
      <w:pPr>
        <w:spacing w:after="120"/>
      </w:pPr>
      <w:r>
        <w:rPr>
          <w:b/>
        </w:rPr>
        <w:t>Las ecuaciones que existen para Chile:</w:t>
      </w:r>
      <w:r>
        <w:t xml:space="preserve"> la referencia es </w:t>
      </w:r>
      <w:r>
        <w:rPr>
          <w:b/>
        </w:rPr>
        <w:t>Dobbs, Hernández y Escobedo (2011)</w:t>
      </w:r>
      <w:r>
        <w:t xml:space="preserve">, que calibraron ecuaciones alométricas para </w:t>
      </w:r>
      <w:r>
        <w:rPr>
          <w:b/>
        </w:rPr>
        <w:t>11 especies del arbolado urbano de Chile central</w:t>
      </w:r>
      <w:r>
        <w:t xml:space="preserve"> (Santiago). Es lo que hay. Para el resto usamos ecuaciones genéricas con un factor de corrección urbano.</w:t>
      </w:r>
    </w:p>
    <w:p>
      <w:pPr>
        <w:spacing w:after="120"/>
      </w:pPr>
      <w:r>
        <w:rPr>
          <w:b/>
        </w:rPr>
        <w:t>Y ahí está el vacío que él intuye: no hay ecuaciones calibradas para el arbolado urbano del sur de Chile.</w:t>
      </w:r>
      <w:r>
        <w:t xml:space="preserve"> Aplicar las de Santiago a Temuco es la mayor fuente de error de toda nuestra estimación de carbono, y no la podemos cuantificar. Es la limitación más grande que tenemos.</w:t>
      </w:r>
    </w:p>
    <w:p>
      <w:pPr>
        <w:spacing w:after="120"/>
      </w:pPr>
      <w:r>
        <w:rPr>
          <w:b/>
        </w:rPr>
        <w:t>Sobre el paper: sí, y hay dos, no uno.</w:t>
      </w:r>
      <w:r>
        <w:t xml:space="preserve"> Vale la pena decirlo en la postulación porque es exactamente el tipo de proyección que el fondo busca.</w:t>
      </w:r>
    </w:p>
    <w:p>
      <w:pPr>
        <w:pStyle w:val="ListNumber"/>
      </w:pPr>
      <w:r>
        <w:rPr>
          <w:b/>
        </w:rPr>
        <w:t>El paper metodológico, que sale de este proyecto sin esperar nada.</w:t>
      </w:r>
      <w:r>
        <w:t xml:space="preserve"> "Cuánto se equivocan los datos de ciencia ciudadana escolar en medición dendrométrica, y en qué dirección" es una pregunta abierta con demanda real. Nuestra submuestra de control ciega la responde. </w:t>
      </w:r>
      <w:r>
        <w:rPr>
          <w:b/>
        </w:rPr>
        <w:t>Convierte la debilidad más obvia de la propuesta en su aporte más transferible.</w:t>
      </w:r>
    </w:p>
    <w:p>
      <w:pPr>
        <w:pStyle w:val="ListNumber"/>
      </w:pPr>
      <w:r>
        <w:rPr>
          <w:b/>
        </w:rPr>
        <w:t>El paper de calibración, que exige la remedición a 3-5 años.</w:t>
      </w:r>
      <w:r>
        <w:t xml:space="preserve"> Ese es el argumento de continuidad más fuerte que tiene el proyecto: no es "queremos seguir", es "esto solo se puede resolver empezando ahora".</w:t>
      </w:r>
    </w:p>
    <w:p>
      <w:pPr>
        <w:spacing w:after="120"/>
      </w:pPr>
      <w:r>
        <w:t xml:space="preserve">⬜ </w:t>
      </w:r>
      <w:r>
        <w:rPr>
          <w:b/>
        </w:rPr>
        <w:t>Y su idea de fondo es buena y no la habíamos aprovechado: buscar al investigador interesado.</w:t>
      </w:r>
      <w:r>
        <w:t xml:space="preserve"> Un académico de la UFRO que pueda usar estos datos tiene un incentivo propio para sumarse, y eso cubre de una vez la validación taxonómica, la solidez institucional y la continuidad. El Dr. Rodrigo Vargas (UFRO) trabajó el arbolado patrimonial de Temuco. Es un correo, y esta semana.</w:t>
      </w:r>
    </w:p>
    <w:p>
      <w:pPr>
        <w:pStyle w:val="Heading3"/>
      </w:pPr>
      <w:r>
        <w:rPr>
          <w:color w:val="1B4D3E"/>
        </w:rPr>
        <w:t>19 — "El fondo no exige nombres para postular": buscarlo textual en las bases</w:t>
      </w:r>
    </w:p>
    <w:p>
      <w:pPr>
        <w:spacing w:after="120"/>
      </w:pPr>
      <w:r>
        <w:t xml:space="preserve">Fui a buscarlo. </w:t>
      </w:r>
      <w:r>
        <w:rPr>
          <w:b/>
        </w:rPr>
        <w:t>La afirmación no es textual y hay que corregir cómo está escrita.</w:t>
      </w:r>
    </w:p>
    <w:p>
      <w:pPr>
        <w:spacing w:after="120"/>
      </w:pPr>
      <w:r>
        <w:t xml:space="preserve">Lo que dicen las bases, literal: </w:t>
      </w:r>
      <w:r>
        <w:rPr>
          <w:i/>
        </w:rPr>
        <w:t>"Si se postula como equipo, uno/a de sus integrantes actuará como representante, responsable del proyecto, los fondos y será contraparte ante el equipo de FMA."</w:t>
      </w:r>
      <w:r>
        <w:t xml:space="preserve"> Nada más sobre nombres.</w:t>
      </w:r>
    </w:p>
    <w:p>
      <w:pPr>
        <w:spacing w:after="120"/>
      </w:pPr>
      <w:r>
        <w:t xml:space="preserve">Lo que dice la respuesta 30 de la jornada oficial: </w:t>
      </w:r>
      <w:r>
        <w:rPr>
          <w:i/>
        </w:rPr>
        <w:t>"Las bases no fijan un número mínimo ni máximo de integrantes del equipo de trabajo. Solo exigen que, si se postula en equipo, una persona actúe como representante y contraparte oficial ante FMA."</w:t>
      </w:r>
    </w:p>
    <w:p>
      <w:pPr>
        <w:spacing w:after="120"/>
      </w:pPr>
      <w:r>
        <w:t xml:space="preserve">Y el formulario, en la página 5, pide </w:t>
      </w:r>
      <w:r>
        <w:rPr>
          <w:b/>
        </w:rPr>
        <w:t>un número</w:t>
      </w:r>
      <w:r>
        <w:t xml:space="preserve">: </w:t>
      </w:r>
      <w:r>
        <w:rPr>
          <w:i/>
        </w:rPr>
        <w:t>"Nº de integrantes del equipo (incluye responsable)"</w:t>
      </w:r>
      <w:r>
        <w:t>.</w:t>
      </w:r>
    </w:p>
    <w:p>
      <w:pPr>
        <w:spacing w:after="120"/>
      </w:pPr>
      <w:r>
        <w:rPr>
          <w:b/>
        </w:rPr>
        <w:t>Redacción corregida:</w:t>
      </w:r>
      <w:r>
        <w:t xml:space="preserve"> </w:t>
      </w:r>
      <w:r>
        <w:rPr>
          <w:i/>
        </w:rPr>
        <w:t>"Las bases no fijan un número mínimo ni máximo de integrantes, y el formulario solo pide la cantidad. Pero nombrar a las personas conviene igual: la respuesta 29 de la jornada confirma que las trayectorias individuales de los integrantes sirven para acreditar la experiencia del equipo, y lo que el comité evalúa es la coherencia entre las especialidades del equipo y los objetivos."</w:t>
      </w:r>
    </w:p>
    <w:p>
      <w:pPr>
        <w:spacing w:after="120"/>
      </w:pPr>
      <w:r>
        <w:t xml:space="preserve">Es más largo y es lo que corresponde. </w:t>
      </w:r>
      <w:r>
        <w:rPr>
          <w:b/>
        </w:rPr>
        <w:t>No nombrar a nadie es legal y estratégicamente malo.</w:t>
      </w:r>
    </w:p>
    <w:p>
      <w:pPr>
        <w:pStyle w:val="Heading3"/>
      </w:pPr>
      <w:r>
        <w:rPr>
          <w:color w:val="1B4D3E"/>
        </w:rPr>
        <w:t>22 — "Cuánta sombra dan": ¿cómo se calcula?</w:t>
      </w:r>
    </w:p>
    <w:p>
      <w:pPr>
        <w:spacing w:after="120"/>
      </w:pPr>
      <w:r>
        <w:t xml:space="preserve">Con geometría, no con modelos, y esa es su gracia. En terreno se miden </w:t>
      </w:r>
      <w:r>
        <w:rPr>
          <w:b/>
        </w:rPr>
        <w:t>dos diámetros de copa perpendiculares</w:t>
      </w:r>
      <w:r>
        <w:t xml:space="preserve"> (norte-sur y este-oeste). Con eso se calcula el área de una elipse: </w:t>
      </w:r>
      <w:r>
        <w:rPr>
          <w:b/>
        </w:rPr>
        <w:t>A = π · (d₁/2) · (d₂/2)</w:t>
      </w:r>
      <w:r>
        <w:t>. Ese es el área de copa, que es la sombra proyectada a mediodía en aproximación.</w:t>
      </w:r>
    </w:p>
    <w:p>
      <w:pPr>
        <w:spacing w:after="120"/>
      </w:pPr>
      <w:r>
        <w:rPr>
          <w:b/>
        </w:rPr>
        <w:t>Es el único indicador de servicio ecosistémico que no depende de ningún modelo prestado</w:t>
      </w:r>
      <w:r>
        <w:t>: no hay ecuación calibrada en otro país, no hay supuesto de crecimiento, no hay factor de conversión. Se mide y se calcula. Por eso conviene ponerlo adelante y no escondido entre el carbono.</w:t>
      </w:r>
    </w:p>
    <w:p>
      <w:pPr>
        <w:spacing w:after="120"/>
      </w:pPr>
      <w:r>
        <w:t xml:space="preserve">⚠️ La única precisión honesta: es sombra </w:t>
      </w:r>
      <w:r>
        <w:rPr>
          <w:b/>
        </w:rPr>
        <w:t>proyectada</w:t>
      </w:r>
      <w:r>
        <w:t>, geométrica. No es lo mismo que la sombra efectiva a lo largo del día, que depende de la latitud, la hora, la estación y la densidad del follaje. Se dice y listo.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Los que necesitan una decisión</w:t>
      </w:r>
    </w:p>
    <w:p>
      <w:pPr>
        <w:pStyle w:val="Heading3"/>
      </w:pPr>
      <w:r>
        <w:rPr>
          <w:color w:val="1B4D3E"/>
        </w:rPr>
        <w:t>⬜ 20 — "Regular las expectativas, es poca plata a repartir, pero la misma idea se puede postular a otros fondos"</w:t>
      </w:r>
    </w:p>
    <w:p>
      <w:pPr>
        <w:spacing w:after="120"/>
      </w:pPr>
      <w:r>
        <w:rPr>
          <w:b/>
        </w:rPr>
        <w:t>De acuerdo en las dos partes.</w:t>
      </w:r>
    </w:p>
    <w:p>
      <w:pPr>
        <w:spacing w:after="120"/>
      </w:pPr>
      <w:r>
        <w:t xml:space="preserve">Sobre lo primero: son hasta $6.000.000 para 9 meses, con retención sobre honorarios que </w:t>
      </w:r>
      <w:r>
        <w:rPr>
          <w:b/>
        </w:rPr>
        <w:t>se suma al costo</w:t>
      </w:r>
      <w:r>
        <w:t xml:space="preserve"> (pagar $1.800.000 líquidos cuesta más de $1.800.000). Con eso no alcanza para nadie a jornada completa. El presupuesto tiene que ser de dedicaciones parciales y pago por producto o por jornada, y eso hay que decírselo al equipo </w:t>
      </w:r>
      <w:r>
        <w:rPr>
          <w:b/>
        </w:rPr>
        <w:t>antes</w:t>
      </w:r>
      <w:r>
        <w:t xml:space="preserve"> de que nadie se haga expectativas. Lo dejo escrito en el documento que se comparte.</w:t>
      </w:r>
    </w:p>
    <w:p>
      <w:pPr>
        <w:spacing w:after="120"/>
      </w:pPr>
      <w:r>
        <w:t xml:space="preserve">Sobre lo segundo, con una advertencia importante: </w:t>
      </w:r>
      <w:r>
        <w:rPr>
          <w:b/>
        </w:rPr>
        <w:t>a este fondo solo se puede postular un proyecto por persona u organización</w:t>
      </w:r>
      <w:r>
        <w:t xml:space="preserve">, y quien es responsable de uno no puede ser responsable de otro (aunque sí puede integrar el equipo de otra postulación). Eso aplica solo a FMA. </w:t>
      </w:r>
      <w:r>
        <w:rPr>
          <w:b/>
        </w:rPr>
        <w:t>A otros fondos se puede postular lo mismo en paralelo sin problema</w:t>
      </w:r>
      <w:r>
        <w:t>: FPA del Ministerio del Medio Ambiente, FNDR 8% del GORE Araucanía, ANID Ciencia Pública, fondos municipales.</w:t>
      </w:r>
    </w:p>
    <w:p>
      <w:pPr>
        <w:spacing w:after="120"/>
      </w:pPr>
      <w:r>
        <w:t xml:space="preserve">💡 Y algo que juega a favor: </w:t>
      </w:r>
      <w:r>
        <w:rPr>
          <w:b/>
        </w:rPr>
        <w:t>todo lo que estamos escribiendo sirve para los demás.</w:t>
      </w:r>
      <w:r>
        <w:t xml:space="preserve"> El diseño científico, el plan de actividades, el presupuesto y las cartas de las escuelas se reusan casi enteros. El trabajo de estos días no se pierde si no adjudicamos.</w:t>
      </w:r>
    </w:p>
    <w:p>
      <w:pPr>
        <w:spacing w:after="120"/>
      </w:pPr>
      <w:r>
        <w:t xml:space="preserve">⬜ </w:t>
      </w:r>
      <w:r>
        <w:rPr>
          <w:b/>
        </w:rPr>
        <w:t>Decisión tuya:</w:t>
      </w:r>
      <w:r>
        <w:t xml:space="preserve"> ¿le decimos al equipo desde ya que las dedicaciones son parciales y el pago por producto? Creo que sí, y ahora, no cuando haya que repartir.</w:t>
      </w:r>
    </w:p>
    <w:p>
      <w:pPr>
        <w:pStyle w:val="Heading3"/>
      </w:pPr>
      <w:r>
        <w:rPr>
          <w:color w:val="1B4D3E"/>
        </w:rPr>
        <w:t>⬜ 21 — "O:" (sobre el párrafo de líquenes y oxígeno)</w:t>
      </w:r>
    </w:p>
    <w:p>
      <w:pPr>
        <w:spacing w:after="120"/>
      </w:pPr>
      <w:r>
        <w:t xml:space="preserve">Este quedó cortado: escribió "O:" y ahí termina. </w:t>
      </w:r>
      <w:r>
        <w:rPr>
          <w:b/>
        </w:rPr>
        <w:t>Necesito que le preguntes qué iba a proponer.</w:t>
      </w:r>
      <w:r>
        <w:t xml:space="preserve"> El párrafo que comentó es el de los líquenes como bioindicadores y el descarte del oxígeno, que es uno de los que más me importa mantener bien escrito, así que si tenía una alternativa vale la pena tenerla.</w:t>
      </w:r>
    </w:p>
    <w:p>
      <w:pPr>
        <w:pStyle w:val="Heading3"/>
      </w:pPr>
      <w:r>
        <w:rPr>
          <w:color w:val="1B4D3E"/>
        </w:rPr>
        <w:t>18 — "Parece bien"</w:t>
      </w:r>
    </w:p>
    <w:p>
      <w:pPr>
        <w:spacing w:after="120"/>
      </w:pPr>
      <w:r>
        <w:t>Sin acción. Lo dejo anotado para no perder la cuenta.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24 — El formato de las cartas de apoyo</w:t>
      </w:r>
    </w:p>
    <w:p>
      <w:pPr>
        <w:spacing w:after="120"/>
      </w:pPr>
      <w:r>
        <w:t xml:space="preserve">Pidió el formato. </w:t>
      </w:r>
      <w:r>
        <w:rPr>
          <w:b/>
        </w:rPr>
        <w:t>Verificado: no hay formato exigido</w:t>
      </w:r>
      <w:r>
        <w:t xml:space="preserve"> —la respuesta 39 de la jornada lo confirma— y en el formulario las cartas figuran como </w:t>
      </w:r>
      <w:r>
        <w:rPr>
          <w:b/>
        </w:rPr>
        <w:t>adjunto opcional</w:t>
      </w:r>
      <w:r>
        <w:t>, todas en un solo PDF. Que sean opcionales baja la presión de estos días, pero siguen siendo lo que más rápido acredita el vínculo con las escuelas y lo que más tarda en conseguirse.</w:t>
      </w:r>
    </w:p>
    <w:p>
      <w:pPr>
        <w:spacing w:after="120"/>
      </w:pPr>
      <w:r>
        <w:rPr>
          <w:b/>
        </w:rPr>
        <w:t>El modelo quedó escrito aparte, listo para enviar:</w:t>
      </w:r>
      <w:r>
        <w:t xml:space="preserve"> </w:t>
      </w:r>
      <w:r>
        <w:rPr>
          <w:rFonts w:ascii="Consolas" w:hAnsi="Consolas"/>
          <w:sz w:val="19"/>
        </w:rPr>
        <w:t>MODELO_CARTA_APOYO_ESCUELAS.md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Qué hago yo ahora y qué necesito de ustedes</w:t>
      </w:r>
    </w:p>
    <w:p>
      <w:pPr>
        <w:spacing w:after="120"/>
      </w:pPr>
      <w:r>
        <w:rPr>
          <w:b/>
        </w:rPr>
        <w:t>Lo que corrijo sin preguntar</w:t>
      </w:r>
      <w:r>
        <w:t xml:space="preserve"> (comentarios 0 parcial, 2, 4, 5, 8, 10, 11, 12, 13, 17, 19, 23): reescribo el </w:t>
      </w:r>
      <w:r>
        <w:rPr>
          <w:rFonts w:ascii="Consolas" w:hAnsi="Consolas"/>
          <w:sz w:val="19"/>
        </w:rPr>
        <w:t>RESUMEN_PARA_CONVERSAR</w:t>
      </w:r>
      <w:r>
        <w:t xml:space="preserve"> completo con todas esas correcciones y el reemplazo terminológico de "arbolado" por "cobertura vegetal" donde el dato es satelital.</w:t>
      </w:r>
    </w:p>
    <w:p>
      <w:pPr>
        <w:spacing w:after="120"/>
      </w:pPr>
      <w:r>
        <w:rPr>
          <w:b/>
        </w:rPr>
        <w:t>Lo que cambia el diseño y ya dejé aplicado</w:t>
      </w:r>
      <w:r>
        <w:t>: el recorte de alcance del #14 al #16 (180 árboles comprometidos, aves y artrópodos como complementarios) queda reflejado en el plan de actividades.</w:t>
      </w:r>
    </w:p>
    <w:p>
      <w:pPr>
        <w:spacing w:after="120"/>
      </w:pPr>
      <w:r>
        <w:rPr>
          <w:b/>
        </w:rPr>
        <w:t>Lo que necesito de 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 dónde sale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¿Le decimos al equipo que las dedicaciones son parciales y el pago por producto?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#20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Preguntarle a Nicolás qué iba a decir en el "O:"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#21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Preguntar a los docentes </w:t>
            </w:r>
            <w:r>
              <w:rPr>
                <w:b/>
                <w:sz w:val="19"/>
              </w:rPr>
              <w:t>en qué asignatura y unidad</w:t>
            </w:r>
            <w:r>
              <w:rPr>
                <w:sz w:val="19"/>
              </w:rPr>
              <w:t xml:space="preserve"> se integra el protocolo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#16 — es lo que más peso le da a la continuidad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Correo a la DMAO: cómo aplican el criterio de edad del Art. 32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#6, #7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Correo a la UFRO buscando al investigador interesado en los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Fuente y fecha exacta de la capa de 344 loteos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Valor de la UTM del mes, del SII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#6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