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Estado de la postulación FMA — cierre de sesión</w:t>
      </w:r>
    </w:p>
    <w:p>
      <w:pPr>
        <w:spacing w:after="120"/>
      </w:pPr>
      <w:r>
        <w:rPr>
          <w:b/>
        </w:rPr>
        <w:t>Última actualización:</w:t>
      </w:r>
      <w:r>
        <w:t xml:space="preserve"> 13 de agosto de 2026</w:t>
      </w:r>
    </w:p>
    <w:p>
      <w:pPr>
        <w:spacing w:after="120"/>
      </w:pPr>
      <w:r>
        <w:rPr>
          <w:b/>
        </w:rPr>
        <w:t>Cierre de la convocatoria:</w:t>
      </w:r>
      <w:r>
        <w:t xml:space="preserve"> 24 de agosto de 2026, 23:59 — </w:t>
      </w:r>
      <w:r>
        <w:rPr>
          <w:b/>
        </w:rPr>
        <w:t>quedan 11 días</w:t>
      </w:r>
    </w:p>
    <w:p>
      <w:pPr>
        <w:spacing w:after="120"/>
      </w:pPr>
      <w:r>
        <w:rPr>
          <w:b/>
        </w:rPr>
        <w:t>Postulación en el portal:</w:t>
      </w:r>
      <w:r>
        <w:t xml:space="preserve"> ID 1593168 · estado "En creación" · fondofma.vform.io</w:t>
      </w:r>
    </w:p>
    <w:p>
      <w:pPr>
        <w:ind w:left="432"/>
      </w:pPr>
      <w:r>
        <w:rPr>
          <w:i/>
          <w:color w:val="444444"/>
        </w:rPr>
        <w:t>Este documento existe para retomar el trabajo sin releer los trece documentos anteriores.</w:t>
      </w:r>
    </w:p>
    <w:p>
      <w:pPr>
        <w:ind w:left="432"/>
      </w:pPr>
      <w:r>
        <w:rPr>
          <w:i/>
          <w:color w:val="444444"/>
        </w:rPr>
        <w:t xml:space="preserve">Si vuelves después de un tiempo, </w:t>
      </w:r>
      <w:r>
        <w:rPr>
          <w:b/>
          <w:i/>
          <w:color w:val="444444"/>
        </w:rPr>
        <w:t>lee solo esto</w:t>
      </w:r>
      <w:r>
        <w:rPr>
          <w:i/>
          <w:color w:val="444444"/>
        </w:rPr>
        <w:t xml:space="preserve"> y después ve al documento específico que necesites.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1. Qué es el proyecto, en tres líneas</w:t>
      </w:r>
    </w:p>
    <w:p>
      <w:pPr>
        <w:spacing w:after="120"/>
      </w:pPr>
      <w:r>
        <w:t xml:space="preserve">Estudiantes de tres escuelas de Temuco caracterizan los árboles de su propio barrio y registran la biodiversidad que sostienen. Postula </w:t>
      </w:r>
      <w:r>
        <w:rPr>
          <w:b/>
        </w:rPr>
        <w:t>Acción Ecologista Ekuwün</w:t>
      </w:r>
      <w:r>
        <w:t xml:space="preserve"> al Fondo FMA 2026-2027 (hasta $6.000.000, ejecución dic-2026 a ago-2027). El árbol es el </w:t>
      </w:r>
      <w:r>
        <w:rPr>
          <w:b/>
        </w:rPr>
        <w:t>hábitat y la unidad de muestreo</w:t>
      </w:r>
      <w:r>
        <w:t xml:space="preserve">; los talleres son el </w:t>
      </w:r>
      <w:r>
        <w:rPr>
          <w:b/>
        </w:rPr>
        <w:t>método</w:t>
      </w:r>
      <w:r>
        <w:t>, no el producto.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2. Las decisiones ya tomadas (no volver a discutirlas)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Decisión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El árbol como hábitat</w:t>
            </w:r>
            <w:r>
              <w:rPr>
                <w:sz w:val="19"/>
              </w:rPr>
              <w:t>, no como objeto de estudio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Convierte el proyecto en conservación de biodiversidad, que es lo que el fondo financia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Temática 1</w:t>
            </w:r>
            <w:r>
              <w:rPr>
                <w:sz w:val="19"/>
              </w:rPr>
              <w:t xml:space="preserve"> (monitoreo de ecosistemas subrepresentados), con vínculo a la 2 y la 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 Q24 y la Q32 confirmaron que lo urbano no está excluido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Pregunta central</w:t>
            </w:r>
            <w:r>
              <w:rPr>
                <w:sz w:val="19"/>
              </w:rPr>
              <w:t>: qué atributos del arbolado explican la biodiversidad que sostiene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falsable; la anterior no lo era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Cada escuela estudia su propio sector</w:t>
            </w:r>
            <w:r>
              <w:rPr>
                <w:sz w:val="19"/>
              </w:rPr>
              <w:t>, sin sitio de referencia externo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El gradiente se busca </w:t>
            </w:r>
            <w:r>
              <w:rPr>
                <w:b/>
                <w:sz w:val="19"/>
              </w:rPr>
              <w:t>dentro</w:t>
            </w:r>
            <w:r>
              <w:rPr>
                <w:sz w:val="19"/>
              </w:rPr>
              <w:t xml:space="preserve"> de cada barrio: es mejor estadísticamente y no rompe el principio del proyecto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Fuera</w:t>
            </w:r>
            <w:r>
              <w:rPr>
                <w:sz w:val="19"/>
              </w:rPr>
              <w:t>: CO₂ secuestrado, oxígeno, remoción de contaminantes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Físicamente imposibles en 9 meses, o científicamente indefendibles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Fuera</w:t>
            </w:r>
            <w:r>
              <w:rPr>
                <w:sz w:val="19"/>
              </w:rPr>
              <w:t>: el generador de contenido para redes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Las bases excluyen campañas comunicacionales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Postula </w:t>
            </w:r>
            <w:r>
              <w:rPr>
                <w:b/>
                <w:sz w:val="19"/>
              </w:rPr>
              <w:t>Ekuwün como organización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Decisión de Claudia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Líquenes a nivel de morfotipo · hongos como co-núcleo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Por el perfil del equipo (ver §4)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3. Los hallazgos que sostienen la propuesta</w:t>
      </w:r>
    </w:p>
    <w:p>
      <w:pPr>
        <w:pStyle w:val="ListBullet"/>
      </w:pPr>
      <w:r>
        <w:rPr>
          <w:b/>
        </w:rPr>
        <w:t>Lo urbano no está excluido del fondo.</w:t>
      </w:r>
      <w:r>
        <w:t xml:space="preserve"> Q24 y Q32 de la jornada oficial; la Q32 es casi nuestro caso (aves urbanas).</w:t>
      </w:r>
    </w:p>
    <w:p>
      <w:pPr>
        <w:pStyle w:val="ListBullet"/>
      </w:pPr>
      <w:r>
        <w:rPr>
          <w:b/>
        </w:rPr>
        <w:t>"Subrepresentado" tiene definición</w:t>
      </w:r>
      <w:r>
        <w:t xml:space="preserve">: por reconocimiento estatal, o por especies que pasan desapercibidas frente a las carismáticas. </w:t>
      </w:r>
      <w:r>
        <w:rPr>
          <w:b/>
        </w:rPr>
        <w:t>Encajamos en las dos.</w:t>
      </w:r>
    </w:p>
    <w:p>
      <w:pPr>
        <w:pStyle w:val="ListBullet"/>
      </w:pPr>
      <w:r>
        <w:rPr>
          <w:b/>
        </w:rPr>
        <w:t>El científico no necesita un rol específico</w:t>
      </w:r>
      <w:r>
        <w:t>: se evalúa la coherencia global entre especialidades y objetivos.</w:t>
      </w:r>
    </w:p>
    <w:p>
      <w:pPr>
        <w:pStyle w:val="ListBullet"/>
      </w:pPr>
      <w:r>
        <w:rPr>
          <w:b/>
        </w:rPr>
        <w:t>Se adjudican entre 4 y 7 proyectos al año.</w:t>
      </w:r>
      <w:r>
        <w:t xml:space="preserve"> Es competitivo.</w:t>
      </w:r>
    </w:p>
    <w:p>
      <w:pPr>
        <w:pStyle w:val="ListBullet"/>
      </w:pPr>
      <w:r>
        <w:rPr>
          <w:b/>
        </w:rPr>
        <w:t>Advertencia clave del fondo</w:t>
      </w:r>
      <w:r>
        <w:t>: los talleres escolares que solo se repiten cada año con financiamiento nuevo se leen como "poca proyección a largo plazo". Hay que blindar la continuidad con lo que queda funcionando sin nosotros.</w:t>
      </w:r>
    </w:p>
    <w:p>
      <w:pPr>
        <w:pStyle w:val="ListBullet"/>
      </w:pPr>
      <w:r>
        <w:rPr>
          <w:b/>
        </w:rPr>
        <w:t>El proyecto ganador que presentaron es estructuralmente el nuestro</w:t>
      </w:r>
      <w:r>
        <w:t xml:space="preserve"> (Raíces de Calafate, Chile Chico): 50 estudiantes, 60 horas, transectos con iNaturalist, cuadernillo docente, propuesta curricular. </w:t>
      </w:r>
      <w:r>
        <w:rPr>
          <w:b/>
        </w:rPr>
        <w:t>Sus productos eran pedagógicos, no tecnológicos.</w:t>
      </w:r>
    </w:p>
    <w:p>
      <w:pPr>
        <w:pStyle w:val="ListBullet"/>
      </w:pPr>
      <w:r>
        <w:rPr>
          <w:b/>
        </w:rPr>
        <w:t>Anclajes de política pública verificados</w:t>
      </w:r>
      <w:r>
        <w:t xml:space="preserve">: Art. 9 y Art. 28 de la Ordenanza 004/2021; el </w:t>
      </w:r>
      <w:r>
        <w:rPr>
          <w:i/>
        </w:rPr>
        <w:t>Diagnóstico de Biodiversidad de La Araucanía</w:t>
      </w:r>
      <w:r>
        <w:t xml:space="preserve"> del MMA declara que </w:t>
      </w:r>
      <w:r>
        <w:rPr>
          <w:b/>
        </w:rPr>
        <w:t>no existe un sistema de información territorial de biodiversidad</w:t>
      </w:r>
      <w:r>
        <w:t xml:space="preserve"> y nombra los "ecosistemas urbanos de relevancia"; el </w:t>
      </w:r>
      <w:r>
        <w:rPr>
          <w:b/>
        </w:rPr>
        <w:t>Humedal Urbano Río Cautín-Sector Antumalén</w:t>
      </w:r>
      <w:r>
        <w:t xml:space="preserve"> está declarado bajo la </w:t>
      </w:r>
      <w:r>
        <w:rPr>
          <w:b/>
        </w:rPr>
        <w:t>Ley 21.202</w:t>
      </w:r>
      <w:r>
        <w:t>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4. 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Coordinación general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 por definir con Ekuwün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Vínculo territorial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Claudia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Análisis territorial y datos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✅ Claudia (el observatorio es la evidencia)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Especialista en ciencias naturales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Paula Pérez Riveros</w:t>
            </w:r>
            <w:r>
              <w:rPr>
                <w:sz w:val="19"/>
              </w:rPr>
              <w:t xml:space="preserve"> — perfil evaluado y compatible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pedagógica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la brecha que queda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Terreno y control de calidad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puede recaer en la especialista o un tesista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Registro audiovisual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resoluble dentro del equipo</w:t>
            </w:r>
          </w:p>
        </w:tc>
      </w:tr>
    </w:tbl>
    <w:p/>
    <w:p>
      <w:pPr>
        <w:spacing w:after="120"/>
      </w:pPr>
      <w:r>
        <w:rPr>
          <w:b/>
        </w:rPr>
        <w:t>Sobre Paula Pérez Riveros</w:t>
      </w:r>
      <w:r>
        <w:t xml:space="preserve"> (Ingeniera en Recursos Naturales, La Araucanía): 2.893 identificaciones en iNaturalist contra 1.031 observaciones propias — identifica tres veces más de lo que publica. Aves 1.602 · Hongos 1.449 (1.253 Basidiomycota) · Plantas 559 (468 Magnoliopsida) · </w:t>
      </w:r>
      <w:r>
        <w:rPr>
          <w:b/>
        </w:rPr>
        <w:t>Líquenes solo 40</w:t>
      </w:r>
      <w:r>
        <w:t>.</w:t>
      </w:r>
    </w:p>
    <w:p>
      <w:pPr>
        <w:spacing w:after="120"/>
      </w:pPr>
      <w:r>
        <w:rPr>
          <w:b/>
        </w:rPr>
        <w:t>Consecuencia:</w:t>
      </w:r>
      <w:r>
        <w:t xml:space="preserve"> los hongos suben a co-núcleo (se asocian al árbol individual, a diferencia de las aves) y los líquenes bajan a morfotipo. </w:t>
      </w:r>
      <w:r>
        <w:rPr>
          <w:b/>
        </w:rPr>
        <w:t>H4 —los árboles deteriorados no tienen menos vida, tienen vida distinta— pasa a ser la hipótesis mejor cubierta.</w:t>
      </w:r>
    </w:p>
    <w:p>
      <w:pPr>
        <w:spacing w:after="120"/>
      </w:pPr>
      <w:r>
        <w:t xml:space="preserve">⬜ </w:t>
      </w:r>
      <w:r>
        <w:rPr>
          <w:b/>
        </w:rPr>
        <w:t>Falta preguntarle</w:t>
      </w:r>
      <w:r>
        <w:t>: si ha hecho inventarios dendrométricos (medir no es identificar), si tiene experiencia con estudiantes, y su disponibilidad dic-ago.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5. Pendientes, en orden de urgencia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Pendiente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Datos institucionales de Ekuwün</w:t>
            </w:r>
            <w:r>
              <w:rPr>
                <w:sz w:val="19"/>
              </w:rPr>
              <w:t>: nombre legal, personalidad jurídica, año, representante, dirección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Páginas 3 y 4 del formulario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Proyectos anteriores de Ekuwün</w:t>
            </w:r>
            <w:r>
              <w:rPr>
                <w:sz w:val="19"/>
              </w:rPr>
              <w:t xml:space="preserve"> con año, territorio y resultado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Las 350 palabras de experiencia previa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Dedicación en meses de cada rol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presupuesto completo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Coordinación pedagógica</w:t>
            </w:r>
            <w:r>
              <w:rPr>
                <w:sz w:val="19"/>
              </w:rPr>
              <w:t>: quién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Coherencia del equipo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Cartas de apoyo de las tres escuelas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Opcionales, pero es lo que más tarda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Decisión: retención 14,5% o 10,75%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El cálculo de honorarios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¿Los Trigales tiene PIE? · RBD y dependencia de Hablaarte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Qué podemos afirmar sobre inclusión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Resolución de declaración del humedal (nº y fecha), en el portal del MMA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Citarlo con precisión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¿Ekuwün postulará otro proyecto a este fondo?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Solo se permite uno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6. Qué falta producir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Producto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5 — Actividades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siguiente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7 — Presupuesto</w:t>
            </w:r>
            <w:r>
              <w:rPr>
                <w:sz w:val="19"/>
              </w:rPr>
              <w:t xml:space="preserve"> (planilla oficial, 3 ítems: honorarios / producción / otros)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desbloqueado, falta §5.3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Paso 8 — Carta Gantt</w:t>
            </w:r>
            <w:r>
              <w:rPr>
                <w:sz w:val="19"/>
              </w:rPr>
              <w:t xml:space="preserve"> (4 etapas, resolución semanal, reetiquetar meses a dic-ago)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⏭️ desbloqueado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4.900 palabras</w:t>
            </w:r>
            <w:r>
              <w:rPr>
                <w:sz w:val="19"/>
              </w:rPr>
              <w:t xml:space="preserve"> en 14 campos del formulario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PDF de presentación, máx. 7 planas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⬜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7. Advertencias para no repetir errores</w:t>
      </w:r>
    </w:p>
    <w:p>
      <w:pPr>
        <w:pStyle w:val="ListNumber"/>
      </w:pPr>
      <w:r>
        <w:rPr>
          <w:b/>
        </w:rPr>
        <w:t>No usar las bases 2025-2026</w:t>
      </w:r>
      <w:r>
        <w:t xml:space="preserve"> que el portal tiene adjuntas. Las vigentes están en </w:t>
      </w:r>
      <w:r>
        <w:rPr>
          <w:rFonts w:ascii="Consolas" w:hAnsi="Consolas"/>
          <w:sz w:val="19"/>
        </w:rPr>
        <w:t>postulaciones/bases/</w:t>
      </w:r>
      <w:r>
        <w:t>.</w:t>
      </w:r>
    </w:p>
    <w:p>
      <w:pPr>
        <w:pStyle w:val="ListNumber"/>
      </w:pPr>
      <w:r>
        <w:rPr>
          <w:b/>
        </w:rPr>
        <w:t>No decir "monitoreo"</w:t>
      </w:r>
      <w:r>
        <w:t xml:space="preserve"> de lo que se hará en 9 meses: se </w:t>
      </w:r>
      <w:r>
        <w:rPr>
          <w:b/>
        </w:rPr>
        <w:t>instala</w:t>
      </w:r>
      <w:r>
        <w:t xml:space="preserve"> un sistema de monitoreo y se levanta la línea base.</w:t>
      </w:r>
    </w:p>
    <w:p>
      <w:pPr>
        <w:pStyle w:val="ListNumber"/>
      </w:pPr>
      <w:r>
        <w:rPr>
          <w:b/>
        </w:rPr>
        <w:t>No presentar el observatorio como el producto.</w:t>
      </w:r>
      <w:r>
        <w:t xml:space="preserve"> Es infraestructura que ya existe y cuesta cero. Nunca decir "dar continuidad a la página".</w:t>
      </w:r>
    </w:p>
    <w:p>
      <w:pPr>
        <w:pStyle w:val="ListNumber"/>
      </w:pPr>
      <w:r>
        <w:rPr>
          <w:b/>
        </w:rPr>
        <w:t>No inventar antecedentes de Ekuwün ni de las escuelas.</w:t>
      </w:r>
      <w:r>
        <w:t xml:space="preserve"> Todo dato va etiquetado por origen: oficial / testimonio / pendiente.</w:t>
      </w:r>
    </w:p>
    <w:p>
      <w:pPr>
        <w:pStyle w:val="ListNumber"/>
      </w:pPr>
      <w:r>
        <w:rPr>
          <w:b/>
        </w:rPr>
        <w:t>El RUT y los teléfonos no van al repositorio</w:t>
      </w:r>
      <w:r>
        <w:t>, que es público.</w:t>
      </w:r>
    </w:p>
    <w:p>
      <w:pPr>
        <w:pStyle w:val="ListNumber"/>
      </w:pPr>
      <w:r>
        <w:rPr>
          <w:b/>
        </w:rPr>
        <w:t>Las "características deseables" son campos obligatorios</w:t>
      </w:r>
      <w:r>
        <w:t xml:space="preserve"> en el formulario: arte, saberes ancestrales, capacidades e inclusión hay que responderlos sí o sí.</w:t>
      </w:r>
    </w:p>
    <w:p>
      <w:pPr>
        <w:pStyle w:val="ListNumber"/>
      </w:pPr>
      <w:r>
        <w:rPr>
          <w:b/>
        </w:rPr>
        <w:t>Un sector con pocos árboles no es un problema del diseño: es el dato.</w:t>
      </w:r>
      <w:r>
        <w:t xml:space="preserve"> Es un observatorio de arbolado urbano; se miden los árboles que hay en el territorio de cada comunidad, sean muchos o pocos.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8. Dónde está cada cosa</w:t>
      </w:r>
    </w:p>
    <w:p>
      <w:pPr>
        <w:spacing w:after="120"/>
      </w:pPr>
      <w:r>
        <w:t xml:space="preserve">Todo en </w:t>
      </w:r>
      <w:r>
        <w:rPr>
          <w:rFonts w:ascii="Consolas" w:hAnsi="Consolas"/>
          <w:sz w:val="19"/>
        </w:rPr>
        <w:t>postulaciones/</w:t>
      </w:r>
      <w:r>
        <w:t xml:space="preserve">, en </w:t>
      </w:r>
      <w:r>
        <w:rPr>
          <w:rFonts w:ascii="Consolas" w:hAnsi="Consolas"/>
          <w:sz w:val="19"/>
        </w:rPr>
        <w:t>.md</w:t>
      </w:r>
      <w:r>
        <w:t xml:space="preserve"> y </w:t>
      </w:r>
      <w:r>
        <w:rPr>
          <w:rFonts w:ascii="Consolas" w:hAnsi="Consolas"/>
          <w:sz w:val="19"/>
        </w:rPr>
        <w:t>.docx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 qué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RESUMEN_PARA_CONVERSAR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Para compartir con el equipo y las escuelas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FMA_2026_ESTRUCTURA_CONCEPTUAL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Pertinencia y giro conceptual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FMA_2026_DISENO_CIENTIFICO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Pregunta, hipótesis, variables, muestreo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FMA_2026_PILOTO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Ficha de terreno y protocolo para estudiantes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FMA_2026_EQUIPO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Roles y forma de contratación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FMA_2026_ESCUELAS_E_INCLUSION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Las tres escuelas, modelo inclusivo y perfil de Paula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FMA_2026_DECISION_SITIOS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Por qué cada escuela estudia su sector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FMA_2026_PLANTILLAS_Y_SITIOS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Estructura de las planillas oficiales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FMA_2026_MAPA_FORMULARIO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Los 8 pasos del formulario y sus límites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FMA_2026_REVISION_TRAS_JORNADA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_JORNADA_VIDEO_HALLAZGOS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_ARQUITECTURA_CONTINUIDAD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Referencia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bases/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Bases oficiales, FAQ y preguntas de la jornada</w:t>
            </w:r>
          </w:p>
        </w:tc>
      </w:tr>
    </w:tbl>
    <w:p/>
    <w:p>
      <w:pPr>
        <w:spacing w:after="120"/>
      </w:pPr>
      <w:r>
        <w:t xml:space="preserve">Las planillas oficiales están en </w:t>
      </w:r>
      <w:r>
        <w:rPr>
          <w:rFonts w:ascii="Consolas" w:hAnsi="Consolas"/>
          <w:sz w:val="19"/>
        </w:rPr>
        <w:t>C:\Users\comex\Downloads\</w:t>
      </w:r>
      <w:r>
        <w:t xml:space="preserve"> (</w:t>
      </w:r>
      <w:r>
        <w:rPr>
          <w:rFonts w:ascii="Consolas" w:hAnsi="Consolas"/>
          <w:sz w:val="19"/>
        </w:rPr>
        <w:t>Planilla_tipo_de_presupuesto.xlsx</w:t>
      </w:r>
      <w:r>
        <w:t xml:space="preserve"> y </w:t>
      </w:r>
      <w:r>
        <w:rPr>
          <w:rFonts w:ascii="Consolas" w:hAnsi="Consolas"/>
          <w:sz w:val="19"/>
        </w:rPr>
        <w:t>Planilla_tipo_carta_gantt.xlsx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