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4D3E"/>
        </w:rPr>
        <w:t>Plantillas oficiales y ubicación definitiva de los sitios</w:t>
      </w:r>
    </w:p>
    <w:p>
      <w:pPr>
        <w:spacing w:after="120"/>
      </w:pPr>
      <w:r>
        <w:rPr>
          <w:b/>
        </w:rPr>
        <w:t>Fecha:</w:t>
      </w:r>
      <w:r>
        <w:t xml:space="preserve"> 13 de agosto de 2026 · </w:t>
      </w:r>
      <w:r>
        <w:rPr>
          <w:b/>
        </w:rPr>
        <w:t>Cierre de postulación:</w:t>
      </w:r>
      <w:r>
        <w:t xml:space="preserve"> 24/08/2026, 23:59 — </w:t>
      </w:r>
      <w:r>
        <w:rPr>
          <w:b/>
        </w:rPr>
        <w:t>11 días</w:t>
      </w:r>
    </w:p>
    <w:p>
      <w:pPr>
        <w:spacing w:before="40" w:after="120"/>
        <w:pBdr>
          <w:bottom w:val="single" w:sz="6" w:color="BBBBBB"/>
        </w:pBdr>
      </w:pPr>
    </w:p>
    <w:p>
      <w:pPr>
        <w:pStyle w:val="Heading2"/>
      </w:pPr>
      <w:r>
        <w:rPr>
          <w:color w:val="1B4D3E"/>
        </w:rPr>
        <w:t>1. 🔴 Problema de diseño: las tres escuelas están en el mismo estrato</w:t>
      </w:r>
    </w:p>
    <w:p>
      <w:pPr>
        <w:spacing w:after="120"/>
      </w:pPr>
      <w:r>
        <w:t xml:space="preserve">Con las direcciones confirmadas, ubiqué las tres en nuestra capa de unidades vecinales. El geocodificador anterior fallaba porque la dirección de Campos Deportivos es </w:t>
      </w:r>
      <w:r>
        <w:rPr>
          <w:b/>
        </w:rPr>
        <w:t>01055</w:t>
      </w:r>
      <w:r>
        <w:t xml:space="preserve"> (con cero inicial), no 1055.</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E8F0E4"/>
          </w:tcPr>
          <w:p>
            <w:r>
              <w:rPr>
                <w:b/>
                <w:sz w:val="19"/>
              </w:rPr>
            </w:r>
            <w:r>
              <w:rPr>
                <w:b/>
                <w:sz w:val="19"/>
              </w:rPr>
              <w:t>Escuela</w:t>
            </w:r>
          </w:p>
        </w:tc>
        <w:tc>
          <w:tcPr>
            <w:tcW w:type="dxa" w:w="1728"/>
            <w:shd w:val="clear" w:fill="E8F0E4"/>
          </w:tcPr>
          <w:p>
            <w:r>
              <w:rPr>
                <w:b/>
                <w:sz w:val="19"/>
              </w:rPr>
            </w:r>
            <w:r>
              <w:rPr>
                <w:b/>
                <w:sz w:val="19"/>
              </w:rPr>
              <w:t>Unidad vecinal</w:t>
            </w:r>
          </w:p>
        </w:tc>
        <w:tc>
          <w:tcPr>
            <w:tcW w:type="dxa" w:w="1728"/>
            <w:shd w:val="clear" w:fill="E8F0E4"/>
          </w:tcPr>
          <w:p>
            <w:r>
              <w:rPr>
                <w:b/>
                <w:sz w:val="19"/>
              </w:rPr>
            </w:r>
            <w:r>
              <w:rPr>
                <w:b/>
                <w:sz w:val="19"/>
              </w:rPr>
              <w:t>Dosel</w:t>
            </w:r>
          </w:p>
        </w:tc>
        <w:tc>
          <w:tcPr>
            <w:tcW w:type="dxa" w:w="1728"/>
            <w:shd w:val="clear" w:fill="E8F0E4"/>
          </w:tcPr>
          <w:p>
            <w:r>
              <w:rPr>
                <w:b/>
                <w:sz w:val="19"/>
              </w:rPr>
            </w:r>
            <w:r>
              <w:rPr>
                <w:b/>
                <w:sz w:val="19"/>
              </w:rPr>
              <w:t>LST</w:t>
            </w:r>
          </w:p>
        </w:tc>
        <w:tc>
          <w:tcPr>
            <w:tcW w:type="dxa" w:w="1728"/>
            <w:shd w:val="clear" w:fill="E8F0E4"/>
          </w:tcPr>
          <w:p>
            <w:r>
              <w:rPr>
                <w:b/>
                <w:sz w:val="19"/>
              </w:rPr>
            </w:r>
            <w:r>
              <w:rPr>
                <w:b/>
                <w:sz w:val="19"/>
              </w:rPr>
              <w:t>Prioridad</w:t>
            </w:r>
          </w:p>
        </w:tc>
      </w:tr>
      <w:tr>
        <w:tc>
          <w:tcPr>
            <w:tcW w:type="dxa" w:w="1728"/>
          </w:tcPr>
          <w:p>
            <w:r>
              <w:rPr>
                <w:sz w:val="19"/>
              </w:rPr>
            </w:r>
            <w:r>
              <w:rPr>
                <w:b/>
                <w:sz w:val="19"/>
              </w:rPr>
              <w:t>Campos Deportivos</w:t>
            </w:r>
          </w:p>
        </w:tc>
        <w:tc>
          <w:tcPr>
            <w:tcW w:type="dxa" w:w="1728"/>
          </w:tcPr>
          <w:p>
            <w:r>
              <w:rPr>
                <w:sz w:val="19"/>
              </w:rPr>
            </w:r>
            <w:r>
              <w:rPr>
                <w:sz w:val="19"/>
              </w:rPr>
              <w:t>JAVIERA CARRERA ORIENTE</w:t>
            </w:r>
          </w:p>
        </w:tc>
        <w:tc>
          <w:tcPr>
            <w:tcW w:type="dxa" w:w="1728"/>
          </w:tcPr>
          <w:p>
            <w:r>
              <w:rPr>
                <w:sz w:val="19"/>
              </w:rPr>
            </w:r>
            <w:r>
              <w:rPr>
                <w:b/>
                <w:sz w:val="19"/>
              </w:rPr>
              <w:t>3,1%</w:t>
            </w:r>
          </w:p>
        </w:tc>
        <w:tc>
          <w:tcPr>
            <w:tcW w:type="dxa" w:w="1728"/>
          </w:tcPr>
          <w:p>
            <w:r>
              <w:rPr>
                <w:sz w:val="19"/>
              </w:rPr>
            </w:r>
            <w:r>
              <w:rPr>
                <w:sz w:val="19"/>
              </w:rPr>
              <w:t>31,1 °C</w:t>
            </w:r>
          </w:p>
        </w:tc>
        <w:tc>
          <w:tcPr>
            <w:tcW w:type="dxa" w:w="1728"/>
          </w:tcPr>
          <w:p>
            <w:r>
              <w:rPr>
                <w:sz w:val="19"/>
              </w:rPr>
            </w:r>
            <w:r>
              <w:rPr>
                <w:sz w:val="19"/>
              </w:rPr>
              <w:t>80,0</w:t>
            </w:r>
          </w:p>
        </w:tc>
      </w:tr>
      <w:tr>
        <w:tc>
          <w:tcPr>
            <w:tcW w:type="dxa" w:w="1728"/>
          </w:tcPr>
          <w:p>
            <w:r>
              <w:rPr>
                <w:sz w:val="19"/>
              </w:rPr>
            </w:r>
            <w:r>
              <w:rPr>
                <w:b/>
                <w:sz w:val="19"/>
              </w:rPr>
              <w:t>Hablaarte</w:t>
            </w:r>
          </w:p>
        </w:tc>
        <w:tc>
          <w:tcPr>
            <w:tcW w:type="dxa" w:w="1728"/>
          </w:tcPr>
          <w:p>
            <w:r>
              <w:rPr>
                <w:sz w:val="19"/>
              </w:rPr>
            </w:r>
            <w:r>
              <w:rPr>
                <w:sz w:val="19"/>
              </w:rPr>
              <w:t>VALPARAÍSO</w:t>
            </w:r>
          </w:p>
        </w:tc>
        <w:tc>
          <w:tcPr>
            <w:tcW w:type="dxa" w:w="1728"/>
          </w:tcPr>
          <w:p>
            <w:r>
              <w:rPr>
                <w:sz w:val="19"/>
              </w:rPr>
            </w:r>
            <w:r>
              <w:rPr>
                <w:b/>
                <w:sz w:val="19"/>
              </w:rPr>
              <w:t>3,3%</w:t>
            </w:r>
          </w:p>
        </w:tc>
        <w:tc>
          <w:tcPr>
            <w:tcW w:type="dxa" w:w="1728"/>
          </w:tcPr>
          <w:p>
            <w:r>
              <w:rPr>
                <w:sz w:val="19"/>
              </w:rPr>
            </w:r>
            <w:r>
              <w:rPr>
                <w:sz w:val="19"/>
              </w:rPr>
              <w:t>30,4 °C</w:t>
            </w:r>
          </w:p>
        </w:tc>
        <w:tc>
          <w:tcPr>
            <w:tcW w:type="dxa" w:w="1728"/>
          </w:tcPr>
          <w:p>
            <w:r>
              <w:rPr>
                <w:sz w:val="19"/>
              </w:rPr>
            </w:r>
            <w:r>
              <w:rPr>
                <w:sz w:val="19"/>
              </w:rPr>
              <w:t>77,5</w:t>
            </w:r>
          </w:p>
        </w:tc>
      </w:tr>
      <w:tr>
        <w:tc>
          <w:tcPr>
            <w:tcW w:type="dxa" w:w="1728"/>
          </w:tcPr>
          <w:p>
            <w:r>
              <w:rPr>
                <w:sz w:val="19"/>
              </w:rPr>
            </w:r>
            <w:r>
              <w:rPr>
                <w:b/>
                <w:sz w:val="19"/>
              </w:rPr>
              <w:t>Los Trigales</w:t>
            </w:r>
          </w:p>
        </w:tc>
        <w:tc>
          <w:tcPr>
            <w:tcW w:type="dxa" w:w="1728"/>
          </w:tcPr>
          <w:p>
            <w:r>
              <w:rPr>
                <w:sz w:val="19"/>
              </w:rPr>
            </w:r>
            <w:r>
              <w:rPr>
                <w:sz w:val="19"/>
              </w:rPr>
              <w:t>LAS ENCINAS</w:t>
            </w:r>
          </w:p>
        </w:tc>
        <w:tc>
          <w:tcPr>
            <w:tcW w:type="dxa" w:w="1728"/>
          </w:tcPr>
          <w:p>
            <w:r>
              <w:rPr>
                <w:sz w:val="19"/>
              </w:rPr>
            </w:r>
            <w:r>
              <w:rPr>
                <w:b/>
                <w:sz w:val="19"/>
              </w:rPr>
              <w:t>7,4%</w:t>
            </w:r>
          </w:p>
        </w:tc>
        <w:tc>
          <w:tcPr>
            <w:tcW w:type="dxa" w:w="1728"/>
          </w:tcPr>
          <w:p>
            <w:r>
              <w:rPr>
                <w:sz w:val="19"/>
              </w:rPr>
            </w:r>
            <w:r>
              <w:rPr>
                <w:b/>
                <w:sz w:val="19"/>
              </w:rPr>
              <w:t>33,0 °C</w:t>
            </w:r>
          </w:p>
        </w:tc>
        <w:tc>
          <w:tcPr>
            <w:tcW w:type="dxa" w:w="1728"/>
          </w:tcPr>
          <w:p>
            <w:r>
              <w:rPr>
                <w:sz w:val="19"/>
              </w:rPr>
            </w:r>
            <w:r>
              <w:rPr>
                <w:sz w:val="19"/>
              </w:rPr>
              <w:t>76,5</w:t>
            </w:r>
          </w:p>
        </w:tc>
      </w:tr>
    </w:tbl>
    <w:p/>
    <w:p>
      <w:pPr>
        <w:spacing w:after="120"/>
      </w:pPr>
      <w:r>
        <w:t xml:space="preserve">🟢 Las tres direcciones geocodifican dentro de Temuco urbano y </w:t>
      </w:r>
      <w:r>
        <w:rPr>
          <w:b/>
        </w:rPr>
        <w:t>las tres coordenadas caen en unidades vecinales de alta prioridad de plantación</w:t>
      </w:r>
      <w:r>
        <w:t>. Campos Deportivos aparece registrada en OpenStreetMap con su nombre completo —"Escuela Municipal Campos Deportivos, 01055, Avenida Gabriela Mistral"— así que la ubicación es firme.</w:t>
      </w:r>
    </w:p>
    <w:p>
      <w:pPr>
        <w:pStyle w:val="Heading3"/>
      </w:pPr>
      <w:r>
        <w:rPr>
          <w:color w:val="1B4D3E"/>
        </w:rPr>
        <w:t>El problema</w:t>
      </w:r>
    </w:p>
    <w:p>
      <w:pPr>
        <w:spacing w:after="120"/>
      </w:pPr>
      <w:r>
        <w:rPr>
          <w:b/>
        </w:rPr>
        <w:t>Las tres están en el estrato de baja cobertura (3,1% – 7,4%).</w:t>
      </w:r>
      <w:r>
        <w:t xml:space="preserve"> No hay contraste. Y el diseño científico contemplaba dos estratos precisamente para poder contrastar.</w:t>
      </w:r>
    </w:p>
    <w:p>
      <w:pPr>
        <w:spacing w:after="120"/>
      </w:pPr>
      <w:r>
        <w:rPr>
          <w:b/>
        </w:rPr>
        <w:t>Qué se cae y qué se salva:</w:t>
      </w:r>
    </w:p>
    <w:p>
      <w:pPr>
        <w:pStyle w:val="ListBullet"/>
      </w:pPr>
      <w:r>
        <w:t xml:space="preserve">✅ </w:t>
      </w:r>
      <w:r>
        <w:rPr>
          <w:b/>
        </w:rPr>
        <w:t>H1 se salva completa</w:t>
      </w:r>
      <w:r>
        <w:t xml:space="preserve"> (tamaño vs. origen del árbol): se contrasta entre árboles, no entre barrios. Con 200-350 árboles hay poder de sobra.</w:t>
      </w:r>
    </w:p>
    <w:p>
      <w:pPr>
        <w:pStyle w:val="ListBullet"/>
      </w:pPr>
      <w:r>
        <w:t xml:space="preserve">✅ </w:t>
      </w:r>
      <w:r>
        <w:rPr>
          <w:b/>
        </w:rPr>
        <w:t>H2 se salva</w:t>
      </w:r>
      <w:r>
        <w:t xml:space="preserve">, porque la definí a escala de </w:t>
      </w:r>
      <w:r>
        <w:rPr>
          <w:b/>
        </w:rPr>
        <w:t>100 m alrededor de cada árbol</w:t>
      </w:r>
      <w:r>
        <w:t>, no a escala de barrio. Aun dentro de una unidad vecinal con 3% promedio hay manzanas con árboles y manzanas peladas: esa variación fina existe y es medible con nuestra capa satelital.</w:t>
      </w:r>
    </w:p>
    <w:p>
      <w:pPr>
        <w:pStyle w:val="ListBullet"/>
      </w:pPr>
      <w:r>
        <w:t xml:space="preserve">❌ </w:t>
      </w:r>
      <w:r>
        <w:rPr>
          <w:b/>
        </w:rPr>
        <w:t>Se cae la comparación entre barrios contrastantes</w:t>
      </w:r>
      <w:r>
        <w:t xml:space="preserve"> — la pregunta secundaria de justicia ambiental (¿la desigualdad de dosel se traduce en desigualdad de biodiversidad?). Con las tres en el mismo estrato, no se puede responder.</w:t>
      </w:r>
    </w:p>
    <w:p>
      <w:pPr>
        <w:pStyle w:val="ListBullet"/>
      </w:pPr>
      <w:r>
        <w:t xml:space="preserve">⚠️ </w:t>
      </w:r>
      <w:r>
        <w:rPr>
          <w:b/>
        </w:rPr>
        <w:t>Y se pierde el rango del predictor</w:t>
      </w:r>
      <w:r>
        <w:t>: si todos los sitios tienen poca cobertura, no sabemos qué pasa donde sí la hay.</w:t>
      </w:r>
    </w:p>
    <w:p>
      <w:pPr>
        <w:pStyle w:val="Heading3"/>
      </w:pPr>
      <w:r>
        <w:rPr>
          <w:color w:val="1B4D3E"/>
        </w:rPr>
        <w:t>La solución que propongo: un sitio de referencia, no una cuarta escuela</w:t>
      </w:r>
    </w:p>
    <w:p>
      <w:pPr>
        <w:spacing w:after="120"/>
      </w:pPr>
      <w:r>
        <w:t xml:space="preserve">Mantener las tres escuelas —como pediste— y agregar </w:t>
      </w:r>
      <w:r>
        <w:rPr>
          <w:b/>
        </w:rPr>
        <w:t>un sitio de referencia medido por el equipo técnico</w:t>
      </w:r>
      <w:r>
        <w:t>, no por estudiantes. Cuesta una salida de terreno adicional y restituye el gradiente completo.</w:t>
      </w:r>
    </w:p>
    <w:p>
      <w:pPr>
        <w:spacing w:after="120"/>
      </w:pPr>
      <w:r>
        <w:rPr>
          <w:b/>
        </w:rPr>
        <w:t>Candidato: Cerro Ñielol.</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Por qué</w:t>
            </w:r>
          </w:p>
        </w:tc>
        <w:tc>
          <w:tcPr>
            <w:tcW w:type="dxa" w:w="4320"/>
            <w:shd w:val="clear" w:fill="E8F0E4"/>
          </w:tcPr>
          <w:p>
            <w:r>
              <w:rPr>
                <w:b/>
                <w:sz w:val="19"/>
              </w:rPr>
            </w:r>
            <w:r>
              <w:rPr>
                <w:b/>
                <w:sz w:val="19"/>
              </w:rPr>
              <w:t>Detalle</w:t>
            </w:r>
          </w:p>
        </w:tc>
      </w:tr>
      <w:tr>
        <w:tc>
          <w:tcPr>
            <w:tcW w:type="dxa" w:w="4320"/>
          </w:tcPr>
          <w:p>
            <w:r>
              <w:rPr>
                <w:sz w:val="19"/>
              </w:rPr>
            </w:r>
            <w:r>
              <w:rPr>
                <w:b/>
                <w:sz w:val="19"/>
              </w:rPr>
              <w:t>Es el contraste extremo</w:t>
            </w:r>
          </w:p>
        </w:tc>
        <w:tc>
          <w:tcPr>
            <w:tcW w:type="dxa" w:w="4320"/>
          </w:tcPr>
          <w:p>
            <w:r>
              <w:rPr>
                <w:sz w:val="19"/>
              </w:rPr>
            </w:r>
            <w:r>
              <w:rPr>
                <w:sz w:val="19"/>
              </w:rPr>
              <w:t xml:space="preserve">Unidad vecinal ÑIELOL: </w:t>
            </w:r>
            <w:r>
              <w:rPr>
                <w:b/>
                <w:sz w:val="19"/>
              </w:rPr>
              <w:t>52,1% de dosel</w:t>
            </w:r>
            <w:r>
              <w:rPr>
                <w:sz w:val="19"/>
              </w:rPr>
              <w:t xml:space="preserve"> y </w:t>
            </w:r>
            <w:r>
              <w:rPr>
                <w:b/>
                <w:sz w:val="19"/>
              </w:rPr>
              <w:t>24,4 °C</w:t>
            </w:r>
            <w:r>
              <w:rPr>
                <w:sz w:val="19"/>
              </w:rPr>
              <w:t xml:space="preserve"> — frente a 3,1% y 31,1 °C de Javiera Carrera Oriente. </w:t>
            </w:r>
            <w:r>
              <w:rPr>
                <w:b/>
                <w:sz w:val="19"/>
              </w:rPr>
              <w:t>28 puntos de cobertura y casi 7 °C de diferencia dentro de la misma comuna</w:t>
            </w:r>
          </w:p>
        </w:tc>
      </w:tr>
      <w:tr>
        <w:tc>
          <w:tcPr>
            <w:tcW w:type="dxa" w:w="4320"/>
          </w:tcPr>
          <w:p>
            <w:r>
              <w:rPr>
                <w:sz w:val="19"/>
              </w:rPr>
            </w:r>
            <w:r>
              <w:rPr>
                <w:b/>
                <w:sz w:val="19"/>
              </w:rPr>
              <w:t>Es área protegida oficial</w:t>
            </w:r>
          </w:p>
        </w:tc>
        <w:tc>
          <w:tcPr>
            <w:tcW w:type="dxa" w:w="4320"/>
          </w:tcPr>
          <w:p>
            <w:r>
              <w:rPr>
                <w:sz w:val="19"/>
              </w:rPr>
            </w:r>
            <w:r>
              <w:rPr>
                <w:sz w:val="19"/>
              </w:rPr>
              <w:t xml:space="preserve">🟢 </w:t>
            </w:r>
            <w:r>
              <w:rPr>
                <w:b/>
                <w:sz w:val="19"/>
              </w:rPr>
              <w:t>Monumento Natural Cerro Ñielol</w:t>
            </w:r>
            <w:r>
              <w:rPr>
                <w:sz w:val="19"/>
              </w:rPr>
              <w:t xml:space="preserve">, 90 ha, fiscal, creado en 1939, Bosque Caducifolio del Llano — según el </w:t>
            </w:r>
            <w:r>
              <w:rPr>
                <w:i/>
                <w:sz w:val="19"/>
              </w:rPr>
              <w:t>Diagnóstico de Biodiversidad de La Araucanía</w:t>
            </w:r>
            <w:r>
              <w:rPr>
                <w:sz w:val="19"/>
              </w:rPr>
              <w:t xml:space="preserve"> del MMA</w:t>
            </w:r>
          </w:p>
        </w:tc>
      </w:tr>
      <w:tr>
        <w:tc>
          <w:tcPr>
            <w:tcW w:type="dxa" w:w="4320"/>
          </w:tcPr>
          <w:p>
            <w:r>
              <w:rPr>
                <w:sz w:val="19"/>
              </w:rPr>
            </w:r>
            <w:r>
              <w:rPr>
                <w:b/>
                <w:sz w:val="19"/>
              </w:rPr>
              <w:t>Activa una característica valorada</w:t>
            </w:r>
          </w:p>
        </w:tc>
        <w:tc>
          <w:tcPr>
            <w:tcW w:type="dxa" w:w="4320"/>
          </w:tcPr>
          <w:p>
            <w:r>
              <w:rPr>
                <w:sz w:val="19"/>
              </w:rPr>
            </w:r>
            <w:r>
              <w:rPr>
                <w:sz w:val="19"/>
              </w:rPr>
              <w:t xml:space="preserve">Las bases valoran </w:t>
            </w:r>
            <w:r>
              <w:rPr>
                <w:i/>
                <w:sz w:val="19"/>
              </w:rPr>
              <w:t>"vincular el proyecto a áreas protegidas/espacios de cuidado"</w:t>
            </w:r>
            <w:r>
              <w:rPr>
                <w:sz w:val="19"/>
              </w:rPr>
              <w:t>. Hoy no cumplimos ese criterio; con esto sí</w:t>
            </w:r>
          </w:p>
        </w:tc>
      </w:tr>
      <w:tr>
        <w:tc>
          <w:tcPr>
            <w:tcW w:type="dxa" w:w="4320"/>
          </w:tcPr>
          <w:p>
            <w:r>
              <w:rPr>
                <w:sz w:val="19"/>
              </w:rPr>
            </w:r>
            <w:r>
              <w:rPr>
                <w:b/>
                <w:sz w:val="19"/>
              </w:rPr>
              <w:t>Conecta con el instrumento regional</w:t>
            </w:r>
          </w:p>
        </w:tc>
        <w:tc>
          <w:tcPr>
            <w:tcW w:type="dxa" w:w="4320"/>
          </w:tcPr>
          <w:p>
            <w:r>
              <w:rPr>
                <w:sz w:val="19"/>
              </w:rPr>
            </w:r>
            <w:r>
              <w:rPr>
                <w:sz w:val="19"/>
              </w:rPr>
              <w:t xml:space="preserve">El mismo diagnóstico identifica el </w:t>
            </w:r>
            <w:r>
              <w:rPr>
                <w:b/>
                <w:sz w:val="19"/>
              </w:rPr>
              <w:t>Sitio Prioritario Rukamanque</w:t>
            </w:r>
            <w:r>
              <w:rPr>
                <w:sz w:val="19"/>
              </w:rPr>
              <w:t xml:space="preserve">, colindante con Ñielol, amenazado por </w:t>
            </w:r>
            <w:r>
              <w:rPr>
                <w:i/>
                <w:sz w:val="19"/>
              </w:rPr>
              <w:t>"población urbana aledaña, construcción de viviendas"</w:t>
            </w:r>
          </w:p>
        </w:tc>
      </w:tr>
      <w:tr>
        <w:tc>
          <w:tcPr>
            <w:tcW w:type="dxa" w:w="4320"/>
          </w:tcPr>
          <w:p>
            <w:r>
              <w:rPr>
                <w:sz w:val="19"/>
              </w:rPr>
            </w:r>
            <w:r>
              <w:rPr>
                <w:b/>
                <w:sz w:val="19"/>
              </w:rPr>
              <w:t>Tiene sentido pedagógico</w:t>
            </w:r>
          </w:p>
        </w:tc>
        <w:tc>
          <w:tcPr>
            <w:tcW w:type="dxa" w:w="4320"/>
          </w:tcPr>
          <w:p>
            <w:r>
              <w:rPr>
                <w:sz w:val="19"/>
              </w:rPr>
            </w:r>
            <w:r>
              <w:rPr>
                <w:sz w:val="19"/>
              </w:rPr>
              <w:t>Llevar a estudiantes de un barrio con 3% de dosel a un bosque nativo dentro de su propia ciudad es la lección del proyecto en una salida</w:t>
            </w:r>
          </w:p>
        </w:tc>
      </w:tr>
    </w:tbl>
    <w:p/>
    <w:p>
      <w:pPr>
        <w:spacing w:after="120"/>
      </w:pPr>
      <w:r>
        <w:t xml:space="preserve">⚠️ </w:t>
      </w:r>
      <w:r>
        <w:rPr>
          <w:b/>
        </w:rPr>
        <w:t>Verificar antes de comprometerlo:</w:t>
      </w:r>
      <w:r>
        <w:t xml:space="preserve"> Ñielol es administrado por CONAF y </w:t>
      </w:r>
      <w:r>
        <w:rPr>
          <w:b/>
        </w:rPr>
        <w:t>hay que preguntar si se requiere autorización</w:t>
      </w:r>
      <w:r>
        <w:t xml:space="preserve"> para medir árboles y registrar biodiversidad dentro del Monumento Natural. Si el trámite no alcanza, el plan B es un sitio de referencia </w:t>
      </w:r>
      <w:r>
        <w:rPr>
          <w:b/>
        </w:rPr>
        <w:t>no protegido</w:t>
      </w:r>
      <w:r>
        <w:t xml:space="preserve"> en una unidad vecinal de alta cobertura —COSTANERA (21,8%) o ACCESO NORTE (22,5%)—, que no requiere permiso porque es arbolado urbano común.</w:t>
      </w:r>
    </w:p>
    <w:p>
      <w:pPr>
        <w:spacing w:before="40" w:after="120"/>
        <w:pBdr>
          <w:bottom w:val="single" w:sz="6" w:color="BBBBBB"/>
        </w:pBdr>
      </w:pPr>
    </w:p>
    <w:p>
      <w:pPr>
        <w:pStyle w:val="Heading2"/>
      </w:pPr>
      <w:r>
        <w:rPr>
          <w:color w:val="1B4D3E"/>
        </w:rPr>
        <w:t>2. Plantilla de presupuesto (Anexo 4) — estructura exacta</w:t>
      </w:r>
    </w:p>
    <w:p>
      <w:pPr>
        <w:spacing w:after="120"/>
      </w:pPr>
      <w:r>
        <w:rPr>
          <w:b/>
        </w:rPr>
        <w:t>Encabezado:</w:t>
      </w:r>
      <w:r>
        <w:t xml:space="preserve"> nombre del proyecto · dirección · fecha de elaboración.</w:t>
      </w:r>
    </w:p>
    <w:p>
      <w:pPr>
        <w:spacing w:after="120"/>
      </w:pPr>
      <w:r>
        <w:rPr>
          <w:b/>
        </w:rPr>
        <w:t>Columnas:</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fill="E8F0E4"/>
          </w:tcPr>
          <w:p>
            <w:r>
              <w:rPr>
                <w:b/>
                <w:sz w:val="19"/>
              </w:rPr>
            </w:r>
            <w:r>
              <w:rPr>
                <w:b/>
                <w:sz w:val="19"/>
              </w:rPr>
              <w:t>ITEM</w:t>
            </w:r>
          </w:p>
        </w:tc>
        <w:tc>
          <w:tcPr>
            <w:tcW w:type="dxa" w:w="864"/>
            <w:shd w:val="clear" w:fill="E8F0E4"/>
          </w:tcPr>
          <w:p>
            <w:r>
              <w:rPr>
                <w:b/>
                <w:sz w:val="19"/>
              </w:rPr>
            </w:r>
            <w:r>
              <w:rPr>
                <w:b/>
                <w:sz w:val="19"/>
              </w:rPr>
              <w:t>PARTIDA</w:t>
            </w:r>
          </w:p>
        </w:tc>
        <w:tc>
          <w:tcPr>
            <w:tcW w:type="dxa" w:w="864"/>
            <w:shd w:val="clear" w:fill="E8F0E4"/>
          </w:tcPr>
          <w:p>
            <w:r>
              <w:rPr>
                <w:b/>
                <w:sz w:val="19"/>
              </w:rPr>
            </w:r>
            <w:r>
              <w:rPr>
                <w:b/>
                <w:sz w:val="19"/>
              </w:rPr>
              <w:t>UNIDAD</w:t>
            </w:r>
          </w:p>
        </w:tc>
        <w:tc>
          <w:tcPr>
            <w:tcW w:type="dxa" w:w="864"/>
            <w:shd w:val="clear" w:fill="E8F0E4"/>
          </w:tcPr>
          <w:p>
            <w:r>
              <w:rPr>
                <w:b/>
                <w:sz w:val="19"/>
              </w:rPr>
            </w:r>
            <w:r>
              <w:rPr>
                <w:b/>
                <w:sz w:val="19"/>
              </w:rPr>
              <w:t>CANTIDAD</w:t>
            </w:r>
          </w:p>
        </w:tc>
        <w:tc>
          <w:tcPr>
            <w:tcW w:type="dxa" w:w="864"/>
            <w:shd w:val="clear" w:fill="E8F0E4"/>
          </w:tcPr>
          <w:p>
            <w:r>
              <w:rPr>
                <w:b/>
                <w:sz w:val="19"/>
              </w:rPr>
            </w:r>
            <w:r>
              <w:rPr>
                <w:b/>
                <w:sz w:val="19"/>
              </w:rPr>
              <w:t>$ UNITARIO</w:t>
            </w:r>
          </w:p>
        </w:tc>
        <w:tc>
          <w:tcPr>
            <w:tcW w:type="dxa" w:w="864"/>
            <w:shd w:val="clear" w:fill="E8F0E4"/>
          </w:tcPr>
          <w:p>
            <w:r>
              <w:rPr>
                <w:b/>
                <w:sz w:val="19"/>
              </w:rPr>
            </w:r>
            <w:r>
              <w:rPr>
                <w:b/>
                <w:sz w:val="19"/>
              </w:rPr>
              <w:t>SUBTOTAL</w:t>
            </w:r>
          </w:p>
        </w:tc>
        <w:tc>
          <w:tcPr>
            <w:tcW w:type="dxa" w:w="864"/>
            <w:shd w:val="clear" w:fill="E8F0E4"/>
          </w:tcPr>
          <w:p>
            <w:r>
              <w:rPr>
                <w:b/>
                <w:sz w:val="19"/>
              </w:rPr>
            </w:r>
            <w:r>
              <w:rPr>
                <w:b/>
                <w:sz w:val="19"/>
              </w:rPr>
              <w:t>IVA 19%</w:t>
            </w:r>
          </w:p>
        </w:tc>
        <w:tc>
          <w:tcPr>
            <w:tcW w:type="dxa" w:w="864"/>
            <w:shd w:val="clear" w:fill="E8F0E4"/>
          </w:tcPr>
          <w:p>
            <w:r>
              <w:rPr>
                <w:b/>
                <w:sz w:val="19"/>
              </w:rPr>
            </w:r>
            <w:r>
              <w:rPr>
                <w:b/>
                <w:sz w:val="19"/>
              </w:rPr>
              <w:t>RET 14,5%</w:t>
            </w:r>
          </w:p>
        </w:tc>
        <w:tc>
          <w:tcPr>
            <w:tcW w:type="dxa" w:w="864"/>
            <w:shd w:val="clear" w:fill="E8F0E4"/>
          </w:tcPr>
          <w:p>
            <w:r>
              <w:rPr>
                <w:b/>
                <w:sz w:val="19"/>
              </w:rPr>
            </w:r>
            <w:r>
              <w:rPr>
                <w:b/>
                <w:sz w:val="19"/>
              </w:rPr>
              <w:t>TOTAL</w:t>
            </w:r>
          </w:p>
        </w:tc>
        <w:tc>
          <w:tcPr>
            <w:tcW w:type="dxa" w:w="864"/>
            <w:shd w:val="clear" w:fill="E8F0E4"/>
          </w:tcPr>
          <w:p>
            <w:r>
              <w:rPr>
                <w:b/>
                <w:sz w:val="19"/>
              </w:rPr>
            </w:r>
            <w:r>
              <w:rPr>
                <w:b/>
                <w:sz w:val="19"/>
              </w:rPr>
              <w:t>Responsable de financiamiento</w:t>
            </w:r>
          </w:p>
        </w:tc>
      </w:tr>
    </w:tbl>
    <w:p/>
    <w:p>
      <w:pPr>
        <w:spacing w:after="120"/>
      </w:pPr>
      <w:r>
        <w:t xml:space="preserve">La última columna distingue entre </w:t>
      </w:r>
      <w:r>
        <w:rPr>
          <w:b/>
        </w:rPr>
        <w:t>Fondo FMA</w:t>
      </w:r>
      <w:r>
        <w:t xml:space="preserve">, </w:t>
      </w:r>
      <w:r>
        <w:rPr>
          <w:b/>
        </w:rPr>
        <w:t>terceros</w:t>
      </w:r>
      <w:r>
        <w:t xml:space="preserve"> y </w:t>
      </w:r>
      <w:r>
        <w:rPr>
          <w:b/>
        </w:rPr>
        <w:t>financiamiento propio</w:t>
      </w:r>
      <w:r>
        <w:t>.</w:t>
      </w:r>
    </w:p>
    <w:p>
      <w:pPr>
        <w:spacing w:after="120"/>
      </w:pPr>
      <w:r>
        <w:rPr>
          <w:b/>
        </w:rPr>
        <w:t>Solo hay tres ítems, y son cerrados:</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ITEM</w:t>
            </w:r>
          </w:p>
        </w:tc>
        <w:tc>
          <w:tcPr>
            <w:tcW w:type="dxa" w:w="4320"/>
            <w:shd w:val="clear" w:fill="E8F0E4"/>
          </w:tcPr>
          <w:p>
            <w:r>
              <w:rPr>
                <w:b/>
                <w:sz w:val="19"/>
              </w:rPr>
            </w:r>
            <w:r>
              <w:rPr>
                <w:b/>
                <w:sz w:val="19"/>
              </w:rPr>
              <w:t>Qué incluye (textual de la planilla)</w:t>
            </w:r>
          </w:p>
        </w:tc>
      </w:tr>
      <w:tr>
        <w:tc>
          <w:tcPr>
            <w:tcW w:type="dxa" w:w="4320"/>
          </w:tcPr>
          <w:p>
            <w:r>
              <w:rPr>
                <w:sz w:val="19"/>
              </w:rPr>
            </w:r>
            <w:r>
              <w:rPr>
                <w:b/>
                <w:sz w:val="19"/>
              </w:rPr>
              <w:t>1. Honorarios de equipo o asesorías</w:t>
            </w:r>
          </w:p>
        </w:tc>
        <w:tc>
          <w:tcPr>
            <w:tcW w:type="dxa" w:w="4320"/>
          </w:tcPr>
          <w:p>
            <w:r>
              <w:rPr>
                <w:sz w:val="19"/>
              </w:rPr>
            </w:r>
            <w:r>
              <w:rPr>
                <w:sz w:val="19"/>
              </w:rPr>
              <w:t>Ejemplo dado: "Coordinador general"</w:t>
            </w:r>
          </w:p>
        </w:tc>
      </w:tr>
      <w:tr>
        <w:tc>
          <w:tcPr>
            <w:tcW w:type="dxa" w:w="4320"/>
          </w:tcPr>
          <w:p>
            <w:r>
              <w:rPr>
                <w:sz w:val="19"/>
              </w:rPr>
            </w:r>
            <w:r>
              <w:rPr>
                <w:b/>
                <w:sz w:val="19"/>
              </w:rPr>
              <w:t>2. Producción</w:t>
            </w:r>
          </w:p>
        </w:tc>
        <w:tc>
          <w:tcPr>
            <w:tcW w:type="dxa" w:w="4320"/>
          </w:tcPr>
          <w:p>
            <w:r>
              <w:rPr>
                <w:sz w:val="19"/>
              </w:rPr>
            </w:r>
            <w:r>
              <w:rPr>
                <w:i/>
                <w:sz w:val="19"/>
              </w:rPr>
              <w:t>"Incluye traslados, montaje, arriendos y compras de equipos"</w:t>
            </w:r>
            <w:r>
              <w:rPr>
                <w:sz w:val="19"/>
              </w:rPr>
              <w:t xml:space="preserve"> — ejemplo: pasaje de avión</w:t>
            </w:r>
          </w:p>
        </w:tc>
      </w:tr>
      <w:tr>
        <w:tc>
          <w:tcPr>
            <w:tcW w:type="dxa" w:w="4320"/>
          </w:tcPr>
          <w:p>
            <w:r>
              <w:rPr>
                <w:sz w:val="19"/>
              </w:rPr>
            </w:r>
            <w:r>
              <w:rPr>
                <w:b/>
                <w:sz w:val="19"/>
              </w:rPr>
              <w:t>3. Otros</w:t>
            </w:r>
          </w:p>
        </w:tc>
        <w:tc>
          <w:tcPr>
            <w:tcW w:type="dxa" w:w="4320"/>
          </w:tcPr>
          <w:p>
            <w:r>
              <w:rPr>
                <w:sz w:val="19"/>
              </w:rPr>
            </w:r>
            <w:r>
              <w:rPr>
                <w:i/>
                <w:sz w:val="19"/>
              </w:rPr>
              <w:t>"Cualquier otro ítem que no pertenezca a ítems asociados a honorarios…"</w:t>
            </w:r>
          </w:p>
        </w:tc>
      </w:tr>
    </w:tbl>
    <w:p/>
    <w:p>
      <w:pPr>
        <w:spacing w:after="120"/>
      </w:pPr>
      <w:r>
        <w:rPr>
          <w:b/>
        </w:rPr>
        <w:t>Cierre:</w:t>
      </w:r>
      <w:r>
        <w:t xml:space="preserve"> TOTAL DE PROYECTO · TOTAL A POSTULAR FONDO FMA · </w:t>
      </w:r>
      <w:r>
        <w:rPr>
          <w:b/>
        </w:rPr>
        <w:t>firma del postulante</w:t>
      </w:r>
      <w:r>
        <w:t>.</w:t>
      </w:r>
    </w:p>
    <w:p>
      <w:pPr>
        <w:spacing w:after="120"/>
      </w:pPr>
      <w:r>
        <w:rPr>
          <w:b/>
        </w:rPr>
        <w:t>Notas al pie de la planilla:</w:t>
      </w:r>
    </w:p>
    <w:p>
      <w:pPr>
        <w:pStyle w:val="ListNumber"/>
      </w:pPr>
      <w:r>
        <w:t xml:space="preserve">En </w:t>
      </w:r>
      <w:r>
        <w:rPr>
          <w:b/>
        </w:rPr>
        <w:t>pesos chilenos</w:t>
      </w:r>
      <w:r>
        <w:t xml:space="preserve"> y </w:t>
      </w:r>
      <w:r>
        <w:rPr>
          <w:b/>
        </w:rPr>
        <w:t>firmado</w:t>
      </w:r>
      <w:r>
        <w:t>.</w:t>
      </w:r>
    </w:p>
    <w:p>
      <w:pPr>
        <w:pStyle w:val="ListNumber"/>
      </w:pPr>
      <w:r>
        <w:rPr>
          <w:b/>
        </w:rPr>
        <w:t>No es obligatorio</w:t>
      </w:r>
      <w:r>
        <w:t xml:space="preserve"> tener aportes propios o de terceros.</w:t>
      </w:r>
    </w:p>
    <w:p>
      <w:pPr>
        <w:pStyle w:val="ListNumber"/>
      </w:pPr>
      <w:r>
        <w:t xml:space="preserve">El formato </w:t>
      </w:r>
      <w:r>
        <w:rPr>
          <w:b/>
        </w:rPr>
        <w:t>puede modificarse</w:t>
      </w:r>
      <w:r>
        <w:t xml:space="preserve"> para mayor claridad.</w:t>
      </w:r>
    </w:p>
    <w:p>
      <w:pPr>
        <w:pStyle w:val="ListNumber"/>
      </w:pPr>
      <w:r>
        <w:rPr>
          <w:b/>
        </w:rPr>
        <w:t>El aporte FMA no puede superar los $6.000.000.</w:t>
      </w:r>
    </w:p>
    <w:p>
      <w:pPr>
        <w:pStyle w:val="Heading3"/>
      </w:pPr>
      <w:r>
        <w:rPr>
          <w:color w:val="1B4D3E"/>
        </w:rPr>
        <w:t>2.1 Tres cosas que cambian el presupuesto y no habíamos considerado</w:t>
      </w:r>
    </w:p>
    <w:p>
      <w:pPr>
        <w:spacing w:after="120"/>
      </w:pPr>
      <w:r>
        <w:rPr>
          <w:b/>
        </w:rPr>
        <w:t>a) La retención sobre honorarios se suma al costo.</w:t>
      </w:r>
      <w:r>
        <w:t xml:space="preserve"> En la planilla, el TOTAL = SUBTOTAL + IVA + RETENCIÓN. O sea que pagar $1.800.000 líquidos en honorarios </w:t>
      </w:r>
      <w:r>
        <w:rPr>
          <w:b/>
        </w:rPr>
        <w:t>cuesta más de $1.800.000</w:t>
      </w:r>
      <w:r>
        <w:t xml:space="preserve"> al proyecto.</w:t>
      </w:r>
    </w:p>
    <w:p>
      <w:pPr>
        <w:spacing w:after="120"/>
      </w:pPr>
      <w:r>
        <w:t xml:space="preserve">⚠️ </w:t>
      </w:r>
      <w:r>
        <w:rPr>
          <w:b/>
        </w:rPr>
        <w:t>Y hay una inconsistencia en la propia planilla:</w:t>
      </w:r>
      <w:r>
        <w:t xml:space="preserve"> el encabezado dice </w:t>
      </w:r>
      <w:r>
        <w:rPr>
          <w:b/>
        </w:rPr>
        <w:t>14,5%</w:t>
      </w:r>
      <w:r>
        <w:t xml:space="preserve"> pero el ejemplo calcula </w:t>
      </w:r>
      <w:r>
        <w:rPr>
          <w:b/>
        </w:rPr>
        <w:t>$193.500 sobre $1.800.000, que es 10,75%</w:t>
      </w:r>
      <w:r>
        <w:t xml:space="preserve">. Son cifras distintas. Recomiendo </w:t>
      </w:r>
      <w:r>
        <w:rPr>
          <w:b/>
        </w:rPr>
        <w:t>presupuestar con 14,5%</w:t>
      </w:r>
      <w:r>
        <w:t xml:space="preserve"> (lo que dice el encabezado, y el escenario más caro) y, si quieres certeza, preguntarlo por correo — aunque el período de consultas ya cerró, este es un detalle de formato, no de bases.</w:t>
      </w:r>
    </w:p>
    <w:p>
      <w:pPr>
        <w:spacing w:after="120"/>
      </w:pPr>
      <w:r>
        <w:rPr>
          <w:b/>
        </w:rPr>
        <w:t>b) El IVA 19% aplica a las compras.</w:t>
      </w:r>
      <w:r>
        <w:t xml:space="preserve"> Binoculares, lupas y huinchas entran con IVA. El precio de vitrina ya suele incluirlo, pero hay que declararlo en la columna.</w:t>
      </w:r>
    </w:p>
    <w:p>
      <w:pPr>
        <w:spacing w:after="120"/>
      </w:pPr>
      <w:r>
        <w:rPr>
          <w:b/>
        </w:rPr>
        <w:t>c) El ejemplo revela cómo esperan que se exprese el trabajo:</w:t>
      </w:r>
      <w:r>
        <w:t xml:space="preserve"> </w:t>
      </w:r>
      <w:r>
        <w:rPr>
          <w:i/>
        </w:rPr>
        <w:t>unidad 1, cantidad 6, $300.000 unitario</w:t>
      </w:r>
      <w:r>
        <w:t xml:space="preserve"> = </w:t>
      </w:r>
      <w:r>
        <w:rPr>
          <w:b/>
        </w:rPr>
        <w:t>seis meses de coordinación a $300.000 mensuales</w:t>
      </w:r>
      <w:r>
        <w:t xml:space="preserve">. Es decir, honorarios expresados como </w:t>
      </w:r>
      <w:r>
        <w:rPr>
          <w:b/>
        </w:rPr>
        <w:t>valor mensual × número de meses</w:t>
      </w:r>
      <w:r>
        <w:t>, no como suma global. Conviene seguir esa forma.</w:t>
      </w:r>
    </w:p>
    <w:p>
      <w:pPr>
        <w:spacing w:before="40" w:after="120"/>
        <w:pBdr>
          <w:bottom w:val="single" w:sz="6" w:color="BBBBBB"/>
        </w:pBdr>
      </w:pPr>
    </w:p>
    <w:p>
      <w:pPr>
        <w:pStyle w:val="Heading2"/>
      </w:pPr>
      <w:r>
        <w:rPr>
          <w:color w:val="1B4D3E"/>
        </w:rPr>
        <w:t>3. Plantilla de carta Gantt — estructura exacta</w:t>
      </w:r>
    </w:p>
    <w:p>
      <w:pPr>
        <w:pStyle w:val="ListBullet"/>
      </w:pPr>
      <w:r>
        <w:rPr>
          <w:b/>
        </w:rPr>
        <w:t>Filas:</w:t>
      </w:r>
      <w:r>
        <w:t xml:space="preserve"> cuatro </w:t>
      </w:r>
      <w:r>
        <w:rPr>
          <w:b/>
        </w:rPr>
        <w:t>Etapas</w:t>
      </w:r>
      <w:r>
        <w:t>, cada una con actividades (Actividad 1, 2, …).</w:t>
      </w:r>
    </w:p>
    <w:p>
      <w:pPr>
        <w:pStyle w:val="ListBullet"/>
      </w:pPr>
      <w:r>
        <w:rPr>
          <w:b/>
        </w:rPr>
        <w:t>Columnas:</w:t>
      </w:r>
      <w:r>
        <w:t xml:space="preserve"> 13 meses × 4 semanas cada uno = resolución </w:t>
      </w:r>
      <w:r>
        <w:rPr>
          <w:b/>
        </w:rPr>
        <w:t>semanal</w:t>
      </w:r>
      <w:r>
        <w:t>.</w:t>
      </w:r>
    </w:p>
    <w:p>
      <w:pPr>
        <w:pStyle w:val="ListBullet"/>
      </w:pPr>
      <w:r>
        <w:t xml:space="preserve">⚠️ </w:t>
      </w:r>
      <w:r>
        <w:rPr>
          <w:b/>
        </w:rPr>
        <w:t>Los meses de la plantilla van de JUNIO a JUNIO</w:t>
      </w:r>
      <w:r>
        <w:t xml:space="preserve"> — no corresponden a nuestra ventana. La planilla dice ser "referencial" y la nota 3 del presupuesto autoriza modificar el formato, así que </w:t>
      </w:r>
      <w:r>
        <w:rPr>
          <w:b/>
        </w:rPr>
        <w:t>hay que reetiquetar los meses a diciembre 2026 – agosto 2027</w:t>
      </w:r>
      <w:r>
        <w:t xml:space="preserve"> (9 meses, 36 semanas).</w:t>
      </w:r>
    </w:p>
    <w:p>
      <w:pPr>
        <w:spacing w:after="120"/>
      </w:pPr>
      <w:r>
        <w:rPr>
          <w:b/>
        </w:rPr>
        <w:t>Las cuatro etapas calzan casi solas con lo que ya diseñamos: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Etapa</w:t>
            </w:r>
          </w:p>
        </w:tc>
        <w:tc>
          <w:tcPr>
            <w:tcW w:type="dxa" w:w="2880"/>
            <w:shd w:val="clear" w:fill="E8F0E4"/>
          </w:tcPr>
          <w:p>
            <w:r>
              <w:rPr>
                <w:b/>
                <w:sz w:val="19"/>
              </w:rPr>
            </w:r>
            <w:r>
              <w:rPr>
                <w:b/>
                <w:sz w:val="19"/>
              </w:rPr>
              <w:t>Meses</w:t>
            </w:r>
          </w:p>
        </w:tc>
        <w:tc>
          <w:tcPr>
            <w:tcW w:type="dxa" w:w="2880"/>
            <w:shd w:val="clear" w:fill="E8F0E4"/>
          </w:tcPr>
          <w:p>
            <w:r>
              <w:rPr>
                <w:b/>
                <w:sz w:val="19"/>
              </w:rPr>
            </w:r>
            <w:r>
              <w:rPr>
                <w:b/>
                <w:sz w:val="19"/>
              </w:rPr>
              <w:t>Qué contiene</w:t>
            </w:r>
          </w:p>
        </w:tc>
      </w:tr>
      <w:tr>
        <w:tc>
          <w:tcPr>
            <w:tcW w:type="dxa" w:w="2880"/>
          </w:tcPr>
          <w:p>
            <w:r>
              <w:rPr>
                <w:sz w:val="19"/>
              </w:rPr>
            </w:r>
            <w:r>
              <w:rPr>
                <w:b/>
                <w:sz w:val="19"/>
              </w:rPr>
              <w:t>1. Preparación y formación</w:t>
            </w:r>
          </w:p>
        </w:tc>
        <w:tc>
          <w:tcPr>
            <w:tcW w:type="dxa" w:w="2880"/>
          </w:tcPr>
          <w:p>
            <w:r>
              <w:rPr>
                <w:sz w:val="19"/>
              </w:rPr>
            </w:r>
            <w:r>
              <w:rPr>
                <w:sz w:val="19"/>
              </w:rPr>
              <w:t>dic 2026 – feb 2027</w:t>
            </w:r>
          </w:p>
        </w:tc>
        <w:tc>
          <w:tcPr>
            <w:tcW w:type="dxa" w:w="2880"/>
          </w:tcPr>
          <w:p>
            <w:r>
              <w:rPr>
                <w:sz w:val="19"/>
              </w:rPr>
            </w:r>
            <w:r>
              <w:rPr>
                <w:sz w:val="19"/>
              </w:rPr>
              <w:t>Piloto metodológico, ficha v2, formación docente, compra de materiales, prueba de iNaturalist</w:t>
            </w:r>
          </w:p>
        </w:tc>
      </w:tr>
      <w:tr>
        <w:tc>
          <w:tcPr>
            <w:tcW w:type="dxa" w:w="2880"/>
          </w:tcPr>
          <w:p>
            <w:r>
              <w:rPr>
                <w:sz w:val="19"/>
              </w:rPr>
            </w:r>
            <w:r>
              <w:rPr>
                <w:b/>
                <w:sz w:val="19"/>
              </w:rPr>
              <w:t>2. Terreno con comunidades escolares</w:t>
            </w:r>
          </w:p>
        </w:tc>
        <w:tc>
          <w:tcPr>
            <w:tcW w:type="dxa" w:w="2880"/>
          </w:tcPr>
          <w:p>
            <w:r>
              <w:rPr>
                <w:sz w:val="19"/>
              </w:rPr>
            </w:r>
            <w:r>
              <w:rPr>
                <w:b/>
                <w:sz w:val="19"/>
              </w:rPr>
              <w:t>mar – abr 2027</w:t>
            </w:r>
          </w:p>
        </w:tc>
        <w:tc>
          <w:tcPr>
            <w:tcW w:type="dxa" w:w="2880"/>
          </w:tcPr>
          <w:p>
            <w:r>
              <w:rPr>
                <w:sz w:val="19"/>
              </w:rPr>
            </w:r>
            <w:r>
              <w:rPr>
                <w:sz w:val="19"/>
              </w:rPr>
              <w:t>Salidas, medición, registro de biodiversidad, submuestra de control, sitio de referencia</w:t>
            </w:r>
          </w:p>
        </w:tc>
      </w:tr>
      <w:tr>
        <w:tc>
          <w:tcPr>
            <w:tcW w:type="dxa" w:w="2880"/>
          </w:tcPr>
          <w:p>
            <w:r>
              <w:rPr>
                <w:sz w:val="19"/>
              </w:rPr>
            </w:r>
            <w:r>
              <w:rPr>
                <w:b/>
                <w:sz w:val="19"/>
              </w:rPr>
              <w:t>3. Validación y análisis</w:t>
            </w:r>
          </w:p>
        </w:tc>
        <w:tc>
          <w:tcPr>
            <w:tcW w:type="dxa" w:w="2880"/>
          </w:tcPr>
          <w:p>
            <w:r>
              <w:rPr>
                <w:sz w:val="19"/>
              </w:rPr>
            </w:r>
            <w:r>
              <w:rPr>
                <w:sz w:val="19"/>
              </w:rPr>
              <w:t>may – jul 2027</w:t>
            </w:r>
          </w:p>
        </w:tc>
        <w:tc>
          <w:tcPr>
            <w:tcW w:type="dxa" w:w="2880"/>
          </w:tcPr>
          <w:p>
            <w:r>
              <w:rPr>
                <w:sz w:val="19"/>
              </w:rPr>
            </w:r>
            <w:r>
              <w:rPr>
                <w:sz w:val="19"/>
              </w:rPr>
              <w:t>Identificación taxonómica, control de calidad, GLMM, herbario</w:t>
            </w:r>
          </w:p>
        </w:tc>
      </w:tr>
      <w:tr>
        <w:tc>
          <w:tcPr>
            <w:tcW w:type="dxa" w:w="2880"/>
          </w:tcPr>
          <w:p>
            <w:r>
              <w:rPr>
                <w:sz w:val="19"/>
              </w:rPr>
            </w:r>
            <w:r>
              <w:rPr>
                <w:b/>
                <w:sz w:val="19"/>
              </w:rPr>
              <w:t>4. Devolución e incidencia</w:t>
            </w:r>
          </w:p>
        </w:tc>
        <w:tc>
          <w:tcPr>
            <w:tcW w:type="dxa" w:w="2880"/>
          </w:tcPr>
          <w:p>
            <w:r>
              <w:rPr>
                <w:sz w:val="19"/>
              </w:rPr>
            </w:r>
            <w:r>
              <w:rPr>
                <w:sz w:val="19"/>
              </w:rPr>
              <w:t>jul – ago 2027</w:t>
            </w:r>
          </w:p>
        </w:tc>
        <w:tc>
          <w:tcPr>
            <w:tcW w:type="dxa" w:w="2880"/>
          </w:tcPr>
          <w:p>
            <w:r>
              <w:rPr>
                <w:sz w:val="19"/>
              </w:rPr>
            </w:r>
            <w:r>
              <w:rPr>
                <w:sz w:val="19"/>
              </w:rPr>
              <w:t>Cuadernillo docente, devolución en cada escuela, expedientes Art. 9, publicación en el observatorio</w:t>
            </w:r>
          </w:p>
        </w:tc>
      </w:tr>
    </w:tbl>
    <w:p/>
    <w:p>
      <w:pPr>
        <w:spacing w:after="120"/>
      </w:pPr>
      <w:r>
        <w:t xml:space="preserve">🔑 La concentración del terreno en </w:t>
      </w:r>
      <w:r>
        <w:rPr>
          <w:b/>
        </w:rPr>
        <w:t>marzo-abril</w:t>
      </w:r>
      <w:r>
        <w:t xml:space="preserve"> no es una preferencia: es la única franja con </w:t>
      </w:r>
      <w:r>
        <w:rPr>
          <w:b/>
        </w:rPr>
        <w:t>clases y clima favorable</w:t>
      </w:r>
      <w:r>
        <w:t xml:space="preserve"> dentro de la ventana. Ya estaba identificado y ahora queda anclado en el Gantt.</w:t>
      </w:r>
    </w:p>
    <w:p>
      <w:pPr>
        <w:spacing w:before="40" w:after="120"/>
        <w:pBdr>
          <w:bottom w:val="single" w:sz="6" w:color="BBBBBB"/>
        </w:pBdr>
      </w:pPr>
    </w:p>
    <w:p>
      <w:pPr>
        <w:pStyle w:val="Heading2"/>
      </w:pPr>
      <w:r>
        <w:rPr>
          <w:color w:val="1B4D3E"/>
        </w:rPr>
        <w:t>4. Ekuwün — lo que puedo usar y lo que falta</w:t>
      </w:r>
    </w:p>
    <w:p>
      <w:pPr>
        <w:spacing w:after="120"/>
      </w:pPr>
      <w:r>
        <w:t xml:space="preserve">🔵 </w:t>
      </w:r>
      <w:r>
        <w:rPr>
          <w:b/>
        </w:rPr>
        <w:t>Lo que me diste</w:t>
      </w:r>
      <w:r>
        <w:t xml:space="preserve"> (tu descripción, para redactar):</w:t>
      </w:r>
    </w:p>
    <w:p>
      <w:pPr>
        <w:ind w:left="432"/>
      </w:pPr>
      <w:r>
        <w:rPr>
          <w:i/>
          <w:color w:val="444444"/>
        </w:rPr>
        <w:t xml:space="preserve">Organización socioambiental y comunitaria activa en Temuco, enfocada en </w:t>
      </w:r>
      <w:r>
        <w:rPr>
          <w:b/>
          <w:i/>
          <w:color w:val="444444"/>
        </w:rPr>
        <w:t>ecoeducación, vinculación con la comunidad, conservación de los ecosistemas locales y defensa del arbolado urbano</w:t>
      </w:r>
      <w:r>
        <w:rPr>
          <w:i/>
          <w:color w:val="444444"/>
        </w:rPr>
        <w:t>.</w:t>
      </w:r>
    </w:p>
    <w:p>
      <w:pPr>
        <w:spacing w:after="120"/>
      </w:pPr>
      <w:r>
        <w:rPr>
          <w:b/>
        </w:rPr>
        <w:t>Eso ya sirve para tres cosas del formulario</w:t>
      </w:r>
      <w:r>
        <w:t xml:space="preserve">, y sirve bien: la defensa del arbolado urbano hace que este proyecto </w:t>
      </w:r>
      <w:r>
        <w:rPr>
          <w:b/>
        </w:rPr>
        <w:t>no sea un desvío temático sino la continuación natural</w:t>
      </w:r>
      <w:r>
        <w:t xml:space="preserve"> de lo que la organización ya hace. Eso responde mejor que cualquier declaración al requisito de coherencia entre trayectoria y proyecto.</w:t>
      </w:r>
    </w:p>
    <w:p>
      <w:pPr>
        <w:spacing w:after="120"/>
      </w:pPr>
      <w:r>
        <w:t xml:space="preserve">⬜ </w:t>
      </w:r>
      <w:r>
        <w:rPr>
          <w:b/>
        </w:rPr>
        <w:t>Lo que sigue pendiente:</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Dato</w:t>
            </w:r>
          </w:p>
        </w:tc>
        <w:tc>
          <w:tcPr>
            <w:tcW w:type="dxa" w:w="4320"/>
            <w:shd w:val="clear" w:fill="E8F0E4"/>
          </w:tcPr>
          <w:p>
            <w:r>
              <w:rPr>
                <w:b/>
                <w:sz w:val="19"/>
              </w:rPr>
            </w:r>
            <w:r>
              <w:rPr>
                <w:b/>
                <w:sz w:val="19"/>
              </w:rPr>
              <w:t>Para qué</w:t>
            </w:r>
          </w:p>
        </w:tc>
      </w:tr>
      <w:tr>
        <w:tc>
          <w:tcPr>
            <w:tcW w:type="dxa" w:w="4320"/>
          </w:tcPr>
          <w:p>
            <w:r>
              <w:rPr>
                <w:sz w:val="19"/>
              </w:rPr>
            </w:r>
            <w:r>
              <w:rPr>
                <w:b/>
                <w:sz w:val="19"/>
              </w:rPr>
              <w:t>Nombre legal exacto</w:t>
            </w:r>
            <w:r>
              <w:rPr>
                <w:sz w:val="19"/>
              </w:rPr>
              <w:t xml:space="preserve"> (¿"Acción Ecologista Ekuwün" es la razón social registrada?)</w:t>
            </w:r>
          </w:p>
        </w:tc>
        <w:tc>
          <w:tcPr>
            <w:tcW w:type="dxa" w:w="4320"/>
          </w:tcPr>
          <w:p>
            <w:r>
              <w:rPr>
                <w:sz w:val="19"/>
              </w:rPr>
            </w:r>
            <w:r>
              <w:rPr>
                <w:sz w:val="19"/>
              </w:rPr>
              <w:t>Encabezado de todos los documentos</w:t>
            </w:r>
          </w:p>
        </w:tc>
      </w:tr>
      <w:tr>
        <w:tc>
          <w:tcPr>
            <w:tcW w:type="dxa" w:w="4320"/>
          </w:tcPr>
          <w:p>
            <w:r>
              <w:rPr>
                <w:sz w:val="19"/>
              </w:rPr>
            </w:r>
            <w:r>
              <w:rPr>
                <w:sz w:val="19"/>
              </w:rPr>
              <w:t>Tipo de personalidad jurídica y año de constitución</w:t>
            </w:r>
          </w:p>
        </w:tc>
        <w:tc>
          <w:tcPr>
            <w:tcW w:type="dxa" w:w="4320"/>
          </w:tcPr>
          <w:p>
            <w:r>
              <w:rPr>
                <w:sz w:val="19"/>
              </w:rPr>
            </w:r>
            <w:r>
              <w:rPr>
                <w:sz w:val="19"/>
              </w:rPr>
              <w:t>Datos de organización</w:t>
            </w:r>
          </w:p>
        </w:tc>
      </w:tr>
      <w:tr>
        <w:tc>
          <w:tcPr>
            <w:tcW w:type="dxa" w:w="4320"/>
          </w:tcPr>
          <w:p>
            <w:r>
              <w:rPr>
                <w:sz w:val="19"/>
              </w:rPr>
            </w:r>
            <w:r>
              <w:rPr>
                <w:sz w:val="19"/>
              </w:rPr>
              <w:t>Representante legal</w:t>
            </w:r>
          </w:p>
        </w:tc>
        <w:tc>
          <w:tcPr>
            <w:tcW w:type="dxa" w:w="4320"/>
          </w:tcPr>
          <w:p>
            <w:r>
              <w:rPr>
                <w:sz w:val="19"/>
              </w:rPr>
            </w:r>
            <w:r>
              <w:rPr>
                <w:sz w:val="19"/>
              </w:rPr>
              <w:t>Responsable del proyecto y firma del presupuesto</w:t>
            </w:r>
          </w:p>
        </w:tc>
      </w:tr>
      <w:tr>
        <w:tc>
          <w:tcPr>
            <w:tcW w:type="dxa" w:w="4320"/>
          </w:tcPr>
          <w:p>
            <w:r>
              <w:rPr>
                <w:sz w:val="19"/>
              </w:rPr>
            </w:r>
            <w:r>
              <w:rPr>
                <w:b/>
                <w:sz w:val="19"/>
              </w:rPr>
              <w:t>Dirección</w:t>
            </w:r>
            <w:r>
              <w:rPr>
                <w:sz w:val="19"/>
              </w:rPr>
              <w:t xml:space="preserve"> de la organización</w:t>
            </w:r>
          </w:p>
        </w:tc>
        <w:tc>
          <w:tcPr>
            <w:tcW w:type="dxa" w:w="4320"/>
          </w:tcPr>
          <w:p>
            <w:r>
              <w:rPr>
                <w:sz w:val="19"/>
              </w:rPr>
            </w:r>
            <w:r>
              <w:rPr>
                <w:sz w:val="19"/>
              </w:rPr>
              <w:t>Encabezado de la planilla de presupuesto</w:t>
            </w:r>
          </w:p>
        </w:tc>
      </w:tr>
      <w:tr>
        <w:tc>
          <w:tcPr>
            <w:tcW w:type="dxa" w:w="4320"/>
          </w:tcPr>
          <w:p>
            <w:r>
              <w:rPr>
                <w:sz w:val="19"/>
              </w:rPr>
            </w:r>
            <w:r>
              <w:rPr>
                <w:b/>
                <w:sz w:val="19"/>
              </w:rPr>
              <w:t>Proyectos anteriores</w:t>
            </w:r>
            <w:r>
              <w:rPr>
                <w:sz w:val="19"/>
              </w:rPr>
              <w:t>: nombre, año, territorio, comunidad, resultado</w:t>
            </w:r>
          </w:p>
        </w:tc>
        <w:tc>
          <w:tcPr>
            <w:tcW w:type="dxa" w:w="4320"/>
          </w:tcPr>
          <w:p>
            <w:r>
              <w:rPr>
                <w:sz w:val="19"/>
              </w:rPr>
            </w:r>
            <w:r>
              <w:rPr>
                <w:sz w:val="19"/>
              </w:rPr>
              <w:t>Experiencia previa — 350 palabras</w:t>
            </w:r>
          </w:p>
        </w:tc>
      </w:tr>
      <w:tr>
        <w:tc>
          <w:tcPr>
            <w:tcW w:type="dxa" w:w="4320"/>
          </w:tcPr>
          <w:p>
            <w:r>
              <w:rPr>
                <w:sz w:val="19"/>
              </w:rPr>
            </w:r>
            <w:r>
              <w:rPr>
                <w:sz w:val="19"/>
              </w:rPr>
              <w:t xml:space="preserve">Trabajo previo </w:t>
            </w:r>
            <w:r>
              <w:rPr>
                <w:b/>
                <w:sz w:val="19"/>
              </w:rPr>
              <w:t>con estas tres escuelas</w:t>
            </w:r>
          </w:p>
        </w:tc>
        <w:tc>
          <w:tcPr>
            <w:tcW w:type="dxa" w:w="4320"/>
          </w:tcPr>
          <w:p>
            <w:r>
              <w:rPr>
                <w:sz w:val="19"/>
              </w:rPr>
            </w:r>
            <w:r>
              <w:rPr>
                <w:sz w:val="19"/>
              </w:rPr>
              <w:t>Experiencia con comunidades del territorio</w:t>
            </w:r>
          </w:p>
        </w:tc>
      </w:tr>
      <w:tr>
        <w:tc>
          <w:tcPr>
            <w:tcW w:type="dxa" w:w="4320"/>
          </w:tcPr>
          <w:p>
            <w:r>
              <w:rPr>
                <w:sz w:val="19"/>
              </w:rPr>
            </w:r>
            <w:r>
              <w:rPr>
                <w:sz w:val="19"/>
              </w:rPr>
              <w:t>¿Ekuwün postulará otro proyecto a este fondo?</w:t>
            </w:r>
          </w:p>
        </w:tc>
        <w:tc>
          <w:tcPr>
            <w:tcW w:type="dxa" w:w="4320"/>
          </w:tcPr>
          <w:p>
            <w:r>
              <w:rPr>
                <w:sz w:val="19"/>
              </w:rPr>
            </w:r>
            <w:r>
              <w:rPr>
                <w:sz w:val="19"/>
              </w:rPr>
              <w:t>⚠️ Solo se permite uno</w:t>
            </w:r>
          </w:p>
        </w:tc>
      </w:tr>
    </w:tbl>
    <w:p/>
    <w:p>
      <w:pPr>
        <w:spacing w:after="120"/>
      </w:pPr>
      <w:r>
        <w:t xml:space="preserve">🔒 </w:t>
      </w:r>
      <w:r>
        <w:rPr>
          <w:b/>
        </w:rPr>
        <w:t>Sobre el RUT.</w:t>
      </w:r>
      <w:r>
        <w:t xml:space="preserve"> Me lo diste y lo tengo para completar el formulario, pero </w:t>
      </w:r>
      <w:r>
        <w:rPr>
          <w:b/>
        </w:rPr>
        <w:t>deliberadamente no lo escribí en este repositorio</w:t>
      </w:r>
      <w:r>
        <w:t>, que es público (es el mismo que publica el sitio en GitHub Pages). Los RUT de organización no son secretos, pero no hay razón para dejarlos indexados. Lo mismo vale para teléfonos de contacto. Cuando llegue el momento de llenar el formulario lo uso desde nuestra conversación.</w:t>
      </w:r>
    </w:p>
    <w:p>
      <w:pPr>
        <w:spacing w:before="40" w:after="120"/>
        <w:pBdr>
          <w:bottom w:val="single" w:sz="6" w:color="BBBBBB"/>
        </w:pBdr>
      </w:pPr>
    </w:p>
    <w:p>
      <w:pPr>
        <w:pStyle w:val="Heading2"/>
      </w:pPr>
      <w:r>
        <w:rPr>
          <w:color w:val="1B4D3E"/>
        </w:rPr>
        <w:t>5. Estado y lo que sigue</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Paso</w:t>
            </w:r>
          </w:p>
        </w:tc>
        <w:tc>
          <w:tcPr>
            <w:tcW w:type="dxa" w:w="4320"/>
            <w:shd w:val="clear" w:fill="E8F0E4"/>
          </w:tcPr>
          <w:p>
            <w:r>
              <w:rPr>
                <w:b/>
                <w:sz w:val="19"/>
              </w:rPr>
            </w:r>
            <w:r>
              <w:rPr>
                <w:b/>
                <w:sz w:val="19"/>
              </w:rPr>
              <w:t>Estado</w:t>
            </w:r>
          </w:p>
        </w:tc>
      </w:tr>
      <w:tr>
        <w:tc>
          <w:tcPr>
            <w:tcW w:type="dxa" w:w="4320"/>
          </w:tcPr>
          <w:p>
            <w:r>
              <w:rPr>
                <w:sz w:val="19"/>
              </w:rPr>
            </w:r>
            <w:r>
              <w:rPr>
                <w:sz w:val="19"/>
              </w:rPr>
              <w:t>1. Diseño científico</w:t>
            </w:r>
          </w:p>
        </w:tc>
        <w:tc>
          <w:tcPr>
            <w:tcW w:type="dxa" w:w="4320"/>
          </w:tcPr>
          <w:p>
            <w:r>
              <w:rPr>
                <w:sz w:val="19"/>
              </w:rPr>
            </w:r>
            <w:r>
              <w:rPr>
                <w:sz w:val="19"/>
              </w:rPr>
              <w:t>✅</w:t>
            </w:r>
          </w:p>
        </w:tc>
      </w:tr>
      <w:tr>
        <w:tc>
          <w:tcPr>
            <w:tcW w:type="dxa" w:w="4320"/>
          </w:tcPr>
          <w:p>
            <w:r>
              <w:rPr>
                <w:sz w:val="19"/>
              </w:rPr>
            </w:r>
            <w:r>
              <w:rPr>
                <w:sz w:val="19"/>
              </w:rPr>
              <w:t>2. Piloto</w:t>
            </w:r>
          </w:p>
        </w:tc>
        <w:tc>
          <w:tcPr>
            <w:tcW w:type="dxa" w:w="4320"/>
          </w:tcPr>
          <w:p>
            <w:r>
              <w:rPr>
                <w:sz w:val="19"/>
              </w:rPr>
            </w:r>
            <w:r>
              <w:rPr>
                <w:sz w:val="19"/>
              </w:rPr>
              <w:t>✅</w:t>
            </w:r>
          </w:p>
        </w:tc>
      </w:tr>
      <w:tr>
        <w:tc>
          <w:tcPr>
            <w:tcW w:type="dxa" w:w="4320"/>
          </w:tcPr>
          <w:p>
            <w:r>
              <w:rPr>
                <w:sz w:val="19"/>
              </w:rPr>
            </w:r>
            <w:r>
              <w:rPr>
                <w:sz w:val="19"/>
              </w:rPr>
              <w:t>3. Equipo</w:t>
            </w:r>
          </w:p>
        </w:tc>
        <w:tc>
          <w:tcPr>
            <w:tcW w:type="dxa" w:w="4320"/>
          </w:tcPr>
          <w:p>
            <w:r>
              <w:rPr>
                <w:sz w:val="19"/>
              </w:rPr>
            </w:r>
            <w:r>
              <w:rPr>
                <w:sz w:val="19"/>
              </w:rPr>
              <w:t>🟡 roles definidos · ⬜ personas por confirmar</w:t>
            </w:r>
          </w:p>
        </w:tc>
      </w:tr>
      <w:tr>
        <w:tc>
          <w:tcPr>
            <w:tcW w:type="dxa" w:w="4320"/>
          </w:tcPr>
          <w:p>
            <w:r>
              <w:rPr>
                <w:sz w:val="19"/>
              </w:rPr>
            </w:r>
            <w:r>
              <w:rPr>
                <w:sz w:val="19"/>
              </w:rPr>
              <w:t>4. Escuelas y alianzas</w:t>
            </w:r>
          </w:p>
        </w:tc>
        <w:tc>
          <w:tcPr>
            <w:tcW w:type="dxa" w:w="4320"/>
          </w:tcPr>
          <w:p>
            <w:r>
              <w:rPr>
                <w:sz w:val="19"/>
              </w:rPr>
            </w:r>
            <w:r>
              <w:rPr>
                <w:sz w:val="19"/>
              </w:rPr>
              <w:t>✅ ubicadas y caracterizadas · ⬜ cartas de apoyo</w:t>
            </w:r>
          </w:p>
        </w:tc>
      </w:tr>
      <w:tr>
        <w:tc>
          <w:tcPr>
            <w:tcW w:type="dxa" w:w="4320"/>
          </w:tcPr>
          <w:p>
            <w:r>
              <w:rPr>
                <w:sz w:val="19"/>
              </w:rPr>
            </w:r>
            <w:r>
              <w:rPr>
                <w:sz w:val="19"/>
              </w:rPr>
              <w:t>5. Actividades</w:t>
            </w:r>
          </w:p>
        </w:tc>
        <w:tc>
          <w:tcPr>
            <w:tcW w:type="dxa" w:w="4320"/>
          </w:tcPr>
          <w:p>
            <w:r>
              <w:rPr>
                <w:sz w:val="19"/>
              </w:rPr>
            </w:r>
            <w:r>
              <w:rPr>
                <w:sz w:val="19"/>
              </w:rPr>
              <w:t xml:space="preserve">⏭️ </w:t>
            </w:r>
            <w:r>
              <w:rPr>
                <w:b/>
                <w:sz w:val="19"/>
              </w:rPr>
              <w:t>listo para hacerse</w:t>
            </w:r>
            <w:r>
              <w:rPr>
                <w:sz w:val="19"/>
              </w:rPr>
              <w:t xml:space="preserve"> — la estructura de 4 etapas ya está</w:t>
            </w:r>
          </w:p>
        </w:tc>
      </w:tr>
      <w:tr>
        <w:tc>
          <w:tcPr>
            <w:tcW w:type="dxa" w:w="4320"/>
          </w:tcPr>
          <w:p>
            <w:r>
              <w:rPr>
                <w:sz w:val="19"/>
              </w:rPr>
            </w:r>
            <w:r>
              <w:rPr>
                <w:sz w:val="19"/>
              </w:rPr>
              <w:t>6. Indicadores</w:t>
            </w:r>
          </w:p>
        </w:tc>
        <w:tc>
          <w:tcPr>
            <w:tcW w:type="dxa" w:w="4320"/>
          </w:tcPr>
          <w:p>
            <w:r>
              <w:rPr>
                <w:sz w:val="19"/>
              </w:rPr>
            </w:r>
            <w:r>
              <w:rPr>
                <w:sz w:val="19"/>
              </w:rPr>
              <w:t>🟡 los científicos están; faltan los de proceso</w:t>
            </w:r>
          </w:p>
        </w:tc>
      </w:tr>
      <w:tr>
        <w:tc>
          <w:tcPr>
            <w:tcW w:type="dxa" w:w="4320"/>
          </w:tcPr>
          <w:p>
            <w:r>
              <w:rPr>
                <w:sz w:val="19"/>
              </w:rPr>
            </w:r>
            <w:r>
              <w:rPr>
                <w:sz w:val="19"/>
              </w:rPr>
              <w:t>7. Presupuesto</w:t>
            </w:r>
          </w:p>
        </w:tc>
        <w:tc>
          <w:tcPr>
            <w:tcW w:type="dxa" w:w="4320"/>
          </w:tcPr>
          <w:p>
            <w:r>
              <w:rPr>
                <w:sz w:val="19"/>
              </w:rPr>
            </w:r>
            <w:r>
              <w:rPr>
                <w:sz w:val="19"/>
              </w:rPr>
              <w:t xml:space="preserve">⏭️ </w:t>
            </w:r>
            <w:r>
              <w:rPr>
                <w:b/>
                <w:sz w:val="19"/>
              </w:rPr>
              <w:t>desbloqueado</w:t>
            </w:r>
            <w:r>
              <w:rPr>
                <w:sz w:val="19"/>
              </w:rPr>
              <w:t xml:space="preserve"> — tengo la planilla</w:t>
            </w:r>
          </w:p>
        </w:tc>
      </w:tr>
      <w:tr>
        <w:tc>
          <w:tcPr>
            <w:tcW w:type="dxa" w:w="4320"/>
          </w:tcPr>
          <w:p>
            <w:r>
              <w:rPr>
                <w:sz w:val="19"/>
              </w:rPr>
            </w:r>
            <w:r>
              <w:rPr>
                <w:sz w:val="19"/>
              </w:rPr>
              <w:t>8. Carta Gantt</w:t>
            </w:r>
          </w:p>
        </w:tc>
        <w:tc>
          <w:tcPr>
            <w:tcW w:type="dxa" w:w="4320"/>
          </w:tcPr>
          <w:p>
            <w:r>
              <w:rPr>
                <w:sz w:val="19"/>
              </w:rPr>
            </w:r>
            <w:r>
              <w:rPr>
                <w:sz w:val="19"/>
              </w:rPr>
              <w:t xml:space="preserve">⏭️ </w:t>
            </w:r>
            <w:r>
              <w:rPr>
                <w:b/>
                <w:sz w:val="19"/>
              </w:rPr>
              <w:t>desbloqueado</w:t>
            </w:r>
            <w:r>
              <w:rPr>
                <w:sz w:val="19"/>
              </w:rPr>
              <w:t xml:space="preserve"> — tengo la planilla</w:t>
            </w:r>
          </w:p>
        </w:tc>
      </w:tr>
      <w:tr>
        <w:tc>
          <w:tcPr>
            <w:tcW w:type="dxa" w:w="4320"/>
          </w:tcPr>
          <w:p>
            <w:r>
              <w:rPr>
                <w:sz w:val="19"/>
              </w:rPr>
            </w:r>
            <w:r>
              <w:rPr>
                <w:sz w:val="19"/>
              </w:rPr>
              <w:t>9. Postulación</w:t>
            </w:r>
          </w:p>
        </w:tc>
        <w:tc>
          <w:tcPr>
            <w:tcW w:type="dxa" w:w="4320"/>
          </w:tcPr>
          <w:p>
            <w:r>
              <w:rPr>
                <w:sz w:val="19"/>
              </w:rPr>
            </w:r>
            <w:r>
              <w:rPr>
                <w:sz w:val="19"/>
              </w:rPr>
              <w:t>⬜</w:t>
            </w:r>
          </w:p>
        </w:tc>
      </w:tr>
    </w:tbl>
    <w:p/>
    <w:p>
      <w:pPr>
        <w:spacing w:after="120"/>
      </w:pPr>
      <w:r>
        <w:rPr>
          <w:b/>
        </w:rPr>
        <w:t>Mi propuesta de orden para los 11 días que quedan:</w:t>
      </w:r>
      <w:r>
        <w:t xml:space="preserve"> actividades (paso 5) y presupuesto (paso 7) juntos, porque las actividades definen las partidas; después el Gantt, que es la misma información en el tiempo; y al final los textos, que se escriben solos cuando lo anterior está decidido.</w:t>
      </w:r>
    </w:p>
    <w:p>
      <w:pPr>
        <w:spacing w:after="120"/>
      </w:pPr>
      <w:r>
        <w:rPr>
          <w:b/>
        </w:rPr>
        <w:t>Lo único que sigue bloqueando de verdad es el equipo</w:t>
      </w:r>
      <w:r>
        <w:t>: sin saber quiénes son y cuántos meses de dedicación, el presupuesto no se puede cerrar. Todo lo demás puede avanzar en paralelo.</w:t>
      </w:r>
    </w:p>
    <w:p>
      <w:pPr>
        <w:spacing w:before="40" w:after="120"/>
        <w:pBdr>
          <w:bottom w:val="single" w:sz="6" w:color="BBBBBB"/>
        </w:pBdr>
      </w:pPr>
    </w:p>
    <w:p>
      <w:pPr>
        <w:pStyle w:val="Heading2"/>
      </w:pPr>
      <w:r>
        <w:rPr>
          <w:color w:val="1B4D3E"/>
        </w:rPr>
        <w:t>6. Dos decisiones que necesito de ti</w:t>
      </w:r>
    </w:p>
    <w:p>
      <w:pPr>
        <w:pStyle w:val="ListNumber"/>
      </w:pPr>
      <w:r>
        <w:rPr>
          <w:b/>
        </w:rPr>
        <w:t>¿Incorporamos el sitio de referencia?</w:t>
      </w:r>
      <w:r>
        <w:t xml:space="preserve"> Sin él perdemos la comparación entre barrios contrastantes. Mi recomendación: sí, con Ñielol si CONAF lo permite, o un barrio de alta cobertura si no.</w:t>
      </w:r>
    </w:p>
    <w:p>
      <w:pPr>
        <w:pStyle w:val="ListNumber"/>
      </w:pPr>
      <w:r>
        <w:rPr>
          <w:b/>
        </w:rPr>
        <w:t>¿Presupuestamos la retención al 14,5% o al 10,75%?</w:t>
      </w:r>
      <w:r>
        <w:t xml:space="preserve"> Recomiendo 14,5%: si sobra, se reasigna; si falta, hay que recortar actividades.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